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1eae7d25cc11f8a8e6ec5f96eea230e41f8790"/>
    <w:p>
      <w:pPr>
        <w:pStyle w:val="Heading1"/>
      </w:pPr>
      <w:r>
        <w:t xml:space="preserve">WEC Energy Group (NYSE: WEC) — 2Q26 Earnings Preview</w:t>
      </w:r>
    </w:p>
    <w:p>
      <w:pPr>
        <w:pStyle w:val="BlockText"/>
      </w:pPr>
      <w:r>
        <w:rPr>
          <w:b/>
          <w:bCs/>
        </w:rPr>
        <w:t xml:space="preserve">Timing clarification:</w:t>
      </w:r>
      <w:r>
        <w:t xml:space="preserve"> </w:t>
      </w:r>
      <w:r>
        <w:t xml:space="preserve">The scheduled</w:t>
      </w:r>
      <w:r>
        <w:t xml:space="preserve"> </w:t>
      </w:r>
      <w:r>
        <w:rPr>
          <w:b/>
          <w:bCs/>
        </w:rPr>
        <w:t xml:space="preserve">2026Q2 earnings call is today, Wednesday, July 29, 2026</w:t>
      </w:r>
      <w:r>
        <w:t xml:space="preserve">, not tomorrow.</w:t>
      </w:r>
      <w:r>
        <w:br/>
      </w:r>
      <w:r>
        <w:t xml:space="preserve">WEC last guided to</w:t>
      </w:r>
      <w:r>
        <w:t xml:space="preserve"> </w:t>
      </w:r>
      <w:r>
        <w:rPr>
          <w:b/>
          <w:bCs/>
        </w:rPr>
        <w:t xml:space="preserve">2Q26 EPS of</w:t>
      </w:r>
      <w:r>
        <w:rPr>
          <w:b/>
          <w:bCs/>
        </w:rPr>
        <w:t xml:space="preserve"> </w:t>
      </w:r>
      <m:oMath>
        <m:r>
          <m:t>0.76</m:t>
        </m:r>
        <m:r>
          <m:rPr>
            <m:sty m:val="p"/>
          </m:rPr>
          <m:t>–</m:t>
        </m:r>
      </m:oMath>
      <w:r>
        <w:rPr>
          <w:b/>
          <w:bCs/>
        </w:rPr>
        <w:t xml:space="preserve">0.82</w:t>
      </w:r>
      <w:r>
        <w:t xml:space="preserve"> </w:t>
      </w:r>
      <w:r>
        <w:t xml:space="preserve">and reaffirmed full-year 2026 EPS guidance of</w:t>
      </w:r>
      <w:r>
        <w:t xml:space="preserve"> </w:t>
      </w:r>
      <m:oMath>
        <m:r>
          <m:t>5.51</m:t>
        </m:r>
        <m:r>
          <m:rPr>
            <m:sty m:val="p"/>
          </m:rPr>
          <m:t>–</m:t>
        </m:r>
      </m:oMath>
      <w:r>
        <w:rPr>
          <w:b/>
          <w:bCs/>
        </w:rPr>
        <w:t xml:space="preserve">5.61</w:t>
      </w:r>
      <w:r>
        <w:t xml:space="preserve">.</w:t>
      </w:r>
    </w:p>
    <w:bookmarkStart w:id="9" w:name="Xaf276bebc7bbb7374cf0a945cd145037139fe8d"/>
    <w:p>
      <w:pPr>
        <w:pStyle w:val="Heading2"/>
      </w:pPr>
      <w:r>
        <w:t xml:space="preserve">Investment view: the quarter matters less than the proof points behind the 2027–30 growth step-up</w:t>
      </w:r>
    </w:p>
    <w:p>
      <w:pPr>
        <w:pStyle w:val="FirstParagraph"/>
      </w:pPr>
      <w:r>
        <w:t xml:space="preserve">WEC enters earnings with a relatively straightforward near-term setup: management’s own 2Q EPS range brackets the</w:t>
      </w:r>
      <w:r>
        <w:t xml:space="preserve"> </w:t>
      </w:r>
      <w:r>
        <w:rPr>
          <w:b/>
          <w:bCs/>
        </w:rPr>
        <w:t xml:space="preserve">$0.76 earned in 2Q25</w:t>
      </w:r>
      <w:r>
        <w:t xml:space="preserve">, so a result around the midpoint would represent modest year-over-year growth rather than a dramatic acceleration.</w:t>
      </w:r>
    </w:p>
    <w:p>
      <w:pPr>
        <w:pStyle w:val="BodyText"/>
      </w:pPr>
      <w:r>
        <w:t xml:space="preserve">The bigger issue for investors is whether the company can further de-risk its unusually large, data-center-supported capital plan. WEC’s long-term proposition rests on turning Wisconsin’s projected demand growth into regulated rate base while preserving customer affordability, regulatory support, balance-sheet quality, and construction discipline.</w:t>
      </w:r>
    </w:p>
    <w:p>
      <w:pPr>
        <w:pStyle w:val="BodyText"/>
      </w:pPr>
      <w:r>
        <w:t xml:space="preserve">The call should therefore be judged on three things:</w:t>
      </w:r>
    </w:p>
    <w:p>
      <w:pPr>
        <w:pStyle w:val="Compact"/>
        <w:numPr>
          <w:ilvl w:val="0"/>
          <w:numId w:val="1001"/>
        </w:numPr>
      </w:pPr>
      <w:r>
        <w:rPr>
          <w:b/>
          <w:bCs/>
        </w:rPr>
        <w:t xml:space="preserve">Does management reaffirm 2026 EPS guidance convincingly?</w:t>
      </w:r>
    </w:p>
    <w:p>
      <w:pPr>
        <w:pStyle w:val="Compact"/>
        <w:numPr>
          <w:ilvl w:val="0"/>
          <w:numId w:val="1001"/>
        </w:numPr>
      </w:pPr>
      <w:r>
        <w:rPr>
          <w:b/>
          <w:bCs/>
        </w:rPr>
        <w:t xml:space="preserve">Are Microsoft and Vantage/Oracle data-center projects proceeding on schedule and translating into committed investment?</w:t>
      </w:r>
    </w:p>
    <w:p>
      <w:pPr>
        <w:pStyle w:val="Compact"/>
        <w:numPr>
          <w:ilvl w:val="0"/>
          <w:numId w:val="1001"/>
        </w:numPr>
      </w:pPr>
      <w:r>
        <w:rPr>
          <w:b/>
          <w:bCs/>
        </w:rPr>
        <w:t xml:space="preserve">Has regulatory and financing risk remained contained as capital spending ramps sharply into 2027?</w:t>
      </w:r>
    </w:p>
    <w:bookmarkEnd w:id="9"/>
    <w:bookmarkStart w:id="11" w:name="what-is-already-in-the-numbers"/>
    <w:p>
      <w:pPr>
        <w:pStyle w:val="Heading2"/>
      </w:pPr>
      <w:r>
        <w:t xml:space="preserve">What is already in the numbers</w:t>
      </w:r>
    </w:p>
    <w:bookmarkStart w:id="10" w:name="Xea3a3a73f30a8299728a07bca96098a5019e1ea"/>
    <w:p>
      <w:pPr>
        <w:pStyle w:val="Heading3"/>
      </w:pPr>
      <w:r>
        <w:t xml:space="preserve">1Q26 established a strong starting point</w:t>
      </w:r>
    </w:p>
    <w:p>
      <w:pPr>
        <w:pStyle w:val="FirstParagraph"/>
      </w:pPr>
      <w:r>
        <w:t xml:space="preserve">WEC reported</w:t>
      </w:r>
      <w:r>
        <w:t xml:space="preserve"> </w:t>
      </w:r>
      <w:r>
        <w:rPr>
          <w:b/>
          <w:bCs/>
        </w:rPr>
        <w:t xml:space="preserve">1Q26 EPS of</w:t>
      </w:r>
      <w:r>
        <w:rPr>
          <w:b/>
          <w:bCs/>
        </w:rPr>
        <w:t xml:space="preserve"> </w:t>
      </w:r>
      <m:oMath>
        <m:r>
          <m:t>2.45</m:t>
        </m:r>
        <m:r>
          <m:rPr>
            <m:sty m:val="p"/>
          </m:rPr>
          <m:t>*</m:t>
        </m:r>
        <m:r>
          <m:rPr>
            <m:sty m:val="p"/>
          </m:rPr>
          <m:t>*</m:t>
        </m:r>
        <m:r>
          <m:rPr>
            <m:sty m:val="p"/>
          </m:rPr>
          <m:t>,</m:t>
        </m:r>
        <m:r>
          <m:t>u</m:t>
        </m:r>
        <m:r>
          <m:t>p</m:t>
        </m:r>
        <m:r>
          <m:t>f</m:t>
        </m:r>
        <m:r>
          <m:t>r</m:t>
        </m:r>
        <m:r>
          <m:t>o</m:t>
        </m:r>
        <m:r>
          <m:t>m</m:t>
        </m:r>
        <m:r>
          <m:rPr>
            <m:sty m:val="p"/>
          </m:rPr>
          <m:t>*</m:t>
        </m:r>
        <m:r>
          <m:rPr>
            <m:sty m:val="p"/>
          </m:rPr>
          <m:t>*</m:t>
        </m:r>
      </m:oMath>
      <w:r>
        <w:rPr>
          <w:b/>
          <w:bCs/>
        </w:rPr>
        <w:t xml:space="preserve">2.27</w:t>
      </w:r>
      <w:r>
        <w:t xml:space="preserve"> </w:t>
      </w:r>
      <w:r>
        <w:t xml:space="preserve">in 1Q25. The main driver was rate-base growth, including approximately</w:t>
      </w:r>
      <w:r>
        <w:t xml:space="preserve"> </w:t>
      </w:r>
      <w:r>
        <w:rPr>
          <w:b/>
          <w:bCs/>
        </w:rPr>
        <w:t xml:space="preserve">$0.09 per share of incremental AFUDC equity</w:t>
      </w:r>
      <w:r>
        <w:t xml:space="preserve">, alongside favorable O&amp;M timing. Management cautioned that part of the O&amp;M benefit should reverse through the rest of the year.</w:t>
      </w:r>
    </w:p>
    <w:p>
      <w:pPr>
        <w:pStyle w:val="BodyText"/>
      </w:pPr>
      <w:r>
        <w:t xml:space="preserve">Other useful baseline items:</w:t>
      </w:r>
    </w:p>
    <w:p>
      <w:pPr>
        <w:pStyle w:val="Compact"/>
        <w:numPr>
          <w:ilvl w:val="0"/>
          <w:numId w:val="1002"/>
        </w:numPr>
      </w:pPr>
      <w:r>
        <w:t xml:space="preserve">Retail electric deliveries, weather-normalized and excluding the iron-ore mine, grew</w:t>
      </w:r>
      <w:r>
        <w:t xml:space="preserve"> </w:t>
      </w:r>
      <w:r>
        <w:rPr>
          <w:b/>
          <w:bCs/>
        </w:rPr>
        <w:t xml:space="preserve">1.3%</w:t>
      </w:r>
      <w:r>
        <w:t xml:space="preserve"> </w:t>
      </w:r>
      <w:r>
        <w:t xml:space="preserve">year over year in 1Q.</w:t>
      </w:r>
    </w:p>
    <w:p>
      <w:pPr>
        <w:pStyle w:val="Compact"/>
        <w:numPr>
          <w:ilvl w:val="0"/>
          <w:numId w:val="1002"/>
        </w:numPr>
      </w:pPr>
      <w:r>
        <w:t xml:space="preserve">WEC still expects approximately</w:t>
      </w:r>
      <w:r>
        <w:t xml:space="preserve"> </w:t>
      </w:r>
      <w:r>
        <w:rPr>
          <w:b/>
          <w:bCs/>
        </w:rPr>
        <w:t xml:space="preserve">1.5% electric-sales growth</w:t>
      </w:r>
      <w:r>
        <w:t xml:space="preserve"> </w:t>
      </w:r>
      <w:r>
        <w:t xml:space="preserve">for 2026.</w:t>
      </w:r>
    </w:p>
    <w:p>
      <w:pPr>
        <w:pStyle w:val="Compact"/>
        <w:numPr>
          <w:ilvl w:val="0"/>
          <w:numId w:val="1002"/>
        </w:numPr>
      </w:pPr>
      <w:r>
        <w:t xml:space="preserve">Capital expenditures were</w:t>
      </w:r>
      <w:r>
        <w:t xml:space="preserve"> </w:t>
      </w:r>
      <m:oMath>
        <m:r>
          <m:t>818</m:t>
        </m:r>
        <m:r>
          <m:t>m</m:t>
        </m:r>
        <m:r>
          <m:t>i</m:t>
        </m:r>
        <m:r>
          <m:t>l</m:t>
        </m:r>
        <m:r>
          <m:t>l</m:t>
        </m:r>
        <m:r>
          <m:t>i</m:t>
        </m:r>
        <m:r>
          <m:t>o</m:t>
        </m:r>
        <m:r>
          <m:t>n</m:t>
        </m:r>
        <m:r>
          <m:rPr>
            <m:sty m:val="p"/>
          </m:rPr>
          <m:t>*</m:t>
        </m:r>
        <m:r>
          <m:rPr>
            <m:sty m:val="p"/>
          </m:rPr>
          <m:t>*</m:t>
        </m:r>
        <m:r>
          <m:t>i</m:t>
        </m:r>
        <m:r>
          <m:t>n</m:t>
        </m:r>
        <m:r>
          <m:t>1</m:t>
        </m:r>
        <m:r>
          <m:t>Q</m:t>
        </m:r>
        <m:r>
          <m:rPr>
            <m:sty m:val="p"/>
          </m:rPr>
          <m:t>,</m:t>
        </m:r>
        <m:r>
          <m:t>u</m:t>
        </m:r>
        <m:r>
          <m:t>p</m:t>
        </m:r>
        <m:r>
          <m:t>f</m:t>
        </m:r>
        <m:r>
          <m:t>r</m:t>
        </m:r>
        <m:r>
          <m:t>o</m:t>
        </m:r>
        <m:r>
          <m:t>m</m:t>
        </m:r>
        <m:r>
          <m:rPr>
            <m:sty m:val="p"/>
          </m:rPr>
          <m:t>*</m:t>
        </m:r>
        <m:r>
          <m:rPr>
            <m:sty m:val="p"/>
          </m:rPr>
          <m:t>*</m:t>
        </m:r>
      </m:oMath>
      <w:r>
        <w:rPr>
          <w:b/>
          <w:bCs/>
        </w:rPr>
        <w:t xml:space="preserve">701 million</w:t>
      </w:r>
      <w:r>
        <w:t xml:space="preserve"> </w:t>
      </w:r>
      <w:r>
        <w:t xml:space="preserve">a year earlier.</w:t>
      </w:r>
    </w:p>
    <w:p>
      <w:pPr>
        <w:pStyle w:val="Compact"/>
        <w:numPr>
          <w:ilvl w:val="0"/>
          <w:numId w:val="1002"/>
        </w:numPr>
      </w:pPr>
      <w:r>
        <w:t xml:space="preserve">Management expects 2026 day-to-day O&amp;M growth of</w:t>
      </w:r>
      <w:r>
        <w:t xml:space="preserve"> </w:t>
      </w:r>
      <w:r>
        <w:rPr>
          <w:b/>
          <w:bCs/>
        </w:rPr>
        <w:t xml:space="preserve">3%–5%</w:t>
      </w:r>
      <w:r>
        <w:t xml:space="preserve"> </w:t>
      </w:r>
      <w:r>
        <w:t xml:space="preserve">versus 2025.</w:t>
      </w:r>
    </w:p>
    <w:p>
      <w:pPr>
        <w:pStyle w:val="Compact"/>
        <w:numPr>
          <w:ilvl w:val="0"/>
          <w:numId w:val="1002"/>
        </w:numPr>
      </w:pPr>
      <w:r>
        <w:t xml:space="preserve">The company plans up to</w:t>
      </w:r>
      <w:r>
        <w:t xml:space="preserve"> </w:t>
      </w:r>
      <m:oMath>
        <m:r>
          <m:t>1.1</m:t>
        </m:r>
        <m:r>
          <m:t>b</m:t>
        </m:r>
        <m:r>
          <m:t>i</m:t>
        </m:r>
        <m:r>
          <m:t>l</m:t>
        </m:r>
        <m:r>
          <m:t>l</m:t>
        </m:r>
        <m:r>
          <m:t>i</m:t>
        </m:r>
        <m:r>
          <m:t>o</m:t>
        </m:r>
        <m:r>
          <m:t>n</m:t>
        </m:r>
        <m:r>
          <m:t>o</m:t>
        </m:r>
        <m:r>
          <m:t>f</m:t>
        </m:r>
        <m:r>
          <m:t>c</m:t>
        </m:r>
        <m:r>
          <m:t>o</m:t>
        </m:r>
        <m:r>
          <m:t>m</m:t>
        </m:r>
        <m:r>
          <m:t>m</m:t>
        </m:r>
        <m:r>
          <m:t>o</m:t>
        </m:r>
        <m:r>
          <m:t>n</m:t>
        </m:r>
        <m:r>
          <m:rPr>
            <m:sty m:val="p"/>
          </m:rPr>
          <m:t>−</m:t>
        </m:r>
        <m:r>
          <m:t>e</m:t>
        </m:r>
        <m:r>
          <m:t>q</m:t>
        </m:r>
        <m:r>
          <m:t>u</m:t>
        </m:r>
        <m:r>
          <m:t>i</m:t>
        </m:r>
        <m:r>
          <m:t>t</m:t>
        </m:r>
        <m:r>
          <m:t>y</m:t>
        </m:r>
        <m:r>
          <m:t>i</m:t>
        </m:r>
        <m:r>
          <m:t>s</m:t>
        </m:r>
        <m:r>
          <m:t>s</m:t>
        </m:r>
        <m:r>
          <m:t>u</m:t>
        </m:r>
        <m:r>
          <m:t>a</m:t>
        </m:r>
        <m:r>
          <m:t>n</m:t>
        </m:r>
        <m:r>
          <m:t>c</m:t>
        </m:r>
        <m:r>
          <m:t>e</m:t>
        </m:r>
        <m:r>
          <m:rPr>
            <m:sty m:val="p"/>
          </m:rPr>
          <m:t>*</m:t>
        </m:r>
        <m:r>
          <m:rPr>
            <m:sty m:val="p"/>
          </m:rPr>
          <m:t>*</m:t>
        </m:r>
        <m:r>
          <m:t>i</m:t>
        </m:r>
        <m:r>
          <m:t>n</m:t>
        </m:r>
        <m:r>
          <m:t>2026</m:t>
        </m:r>
        <m:r>
          <m:rPr>
            <m:sty m:val="p"/>
          </m:rPr>
          <m:t>;</m:t>
        </m:r>
        <m:r>
          <m:t>r</m:t>
        </m:r>
        <m:r>
          <m:t>o</m:t>
        </m:r>
        <m:r>
          <m:t>u</m:t>
        </m:r>
        <m:r>
          <m:t>g</m:t>
        </m:r>
        <m:r>
          <m:t>h</m:t>
        </m:r>
        <m:r>
          <m:t>l</m:t>
        </m:r>
        <m:r>
          <m:t>y</m:t>
        </m:r>
        <m:r>
          <m:rPr>
            <m:sty m:val="p"/>
          </m:rPr>
          <m:t>*</m:t>
        </m:r>
        <m:r>
          <m:rPr>
            <m:sty m:val="p"/>
          </m:rPr>
          <m:t>*</m:t>
        </m:r>
      </m:oMath>
      <w:r>
        <w:rPr>
          <w:b/>
          <w:bCs/>
        </w:rPr>
        <w:t xml:space="preserve">455 million</w:t>
      </w:r>
      <w:r>
        <w:t xml:space="preserve"> </w:t>
      </w:r>
      <w:r>
        <w:t xml:space="preserve">had been addressed by the end of 1Q through employee plans and ATM-forward contracts.</w:t>
      </w:r>
    </w:p>
    <w:p>
      <w:pPr>
        <w:pStyle w:val="FirstParagraph"/>
      </w:pPr>
      <w:r>
        <w:t xml:space="preserve">The key implication: the company has already captured some of the benefits of its investment program, but it also needs to demonstrate that higher capex, depreciation, interest expense, and equity issuance will not erode the intended EPS-growth profile.</w:t>
      </w:r>
    </w:p>
    <w:bookmarkEnd w:id="10"/>
    <w:bookmarkEnd w:id="11"/>
    <w:bookmarkStart w:id="13" w:name="the-setup-for-2q26"/>
    <w:p>
      <w:pPr>
        <w:pStyle w:val="Heading2"/>
      </w:pPr>
      <w:r>
        <w:t xml:space="preserve">The setup for 2Q26</w:t>
      </w:r>
    </w:p>
    <w:bookmarkStart w:id="12" w:name="X6f4285c4de071b1382d7c379b462316f68963d5"/>
    <w:p>
      <w:pPr>
        <w:pStyle w:val="Heading3"/>
      </w:pPr>
      <w:r>
        <w:t xml:space="preserve">Management’s EPS range is the clearest near-term benchmark</w:t>
      </w:r>
    </w:p>
    <w:p>
      <w:pPr>
        <w:pStyle w:val="FirstParagraph"/>
      </w:pPr>
      <w:r>
        <w:t xml:space="preserve">WEC explicitly set a</w:t>
      </w:r>
      <w:r>
        <w:t xml:space="preserve"> </w:t>
      </w:r>
      <w:r>
        <w:rPr>
          <w:b/>
          <w:bCs/>
        </w:rPr>
        <w:t xml:space="preserve">2Q26 EPS range of</w:t>
      </w:r>
      <w:r>
        <w:rPr>
          <w:b/>
          <w:bCs/>
        </w:rPr>
        <w:t xml:space="preserve"> </w:t>
      </w:r>
      <m:oMath>
        <m:r>
          <m:t>0.76</m:t>
        </m:r>
        <m:r>
          <m:rPr>
            <m:sty m:val="p"/>
          </m:rPr>
          <m:t>–</m:t>
        </m:r>
      </m:oMath>
      <w:r>
        <w:rPr>
          <w:b/>
          <w:bCs/>
        </w:rPr>
        <w:t xml:space="preserve">0.82</w:t>
      </w:r>
      <w:r>
        <w:t xml:space="preserve">, inclusive of April weather and assuming normal weather thereafter. Relative to</w:t>
      </w:r>
      <w:r>
        <w:t xml:space="preserve"> </w:t>
      </w:r>
      <w:r>
        <w:rPr>
          <w:b/>
          <w:bCs/>
        </w:rPr>
        <w:t xml:space="preserve">$0.76 in 2Q25</w:t>
      </w:r>
      <w:r>
        <w:t xml:space="preserve">, that suggests flat-to-high-single-digit year-over-year growth.</w:t>
      </w:r>
    </w:p>
    <w:p>
      <w:pPr>
        <w:pStyle w:val="BodyText"/>
      </w:pPr>
      <w:r>
        <w:t xml:space="preserve">A result at or above the high end would likely require a combination of favorable weather, continued O&amp;M execution, rate-base/AFUDC contribution, and solid renewable-infrastructure performance. A result below the range would raise questions about weather, operating costs, interest expense, project timing, or volume trends.</w:t>
      </w:r>
    </w:p>
    <w:p>
      <w:pPr>
        <w:pStyle w:val="BodyText"/>
      </w:pPr>
      <w:r>
        <w:t xml:space="preserve">The full-year guide also leaves little room for complacency. With $2.45 earned in 1Q and</w:t>
      </w:r>
      <w:r>
        <w:t xml:space="preserve"> </w:t>
      </w:r>
      <m:oMath>
        <m:r>
          <m:t>0.76</m:t>
        </m:r>
        <m:r>
          <m:rPr>
            <m:sty m:val="p"/>
          </m:rPr>
          <m:t>–</m:t>
        </m:r>
      </m:oMath>
      <w:r>
        <w:t xml:space="preserve">0.82 expected in 2Q, WEC would need roughly</w:t>
      </w:r>
      <w:r>
        <w:t xml:space="preserve"> </w:t>
      </w:r>
      <m:oMath>
        <m:r>
          <m:t>2.24</m:t>
        </m:r>
        <m:r>
          <m:rPr>
            <m:sty m:val="p"/>
          </m:rPr>
          <m:t>–</m:t>
        </m:r>
      </m:oMath>
      <w:r>
        <w:rPr>
          <w:b/>
          <w:bCs/>
        </w:rPr>
        <w:t xml:space="preserve">2.40</w:t>
      </w:r>
      <w:r>
        <w:t xml:space="preserve"> </w:t>
      </w:r>
      <w:r>
        <w:t xml:space="preserve">combined in the second half to deliver its</w:t>
      </w:r>
      <w:r>
        <w:t xml:space="preserve"> </w:t>
      </w:r>
      <m:oMath>
        <m:r>
          <m:t>5.51</m:t>
        </m:r>
        <m:r>
          <m:rPr>
            <m:sty m:val="p"/>
          </m:rPr>
          <m:t>–</m:t>
        </m:r>
      </m:oMath>
      <w:r>
        <w:t xml:space="preserve">5.61 full-year range.</w:t>
      </w:r>
    </w:p>
    <w:bookmarkEnd w:id="12"/>
    <w:bookmarkEnd w:id="13"/>
    <w:bookmarkStart w:id="15" w:name="X1b3b35fc4d19a1fa112537ca99e1b48a2faff08"/>
    <w:p>
      <w:pPr>
        <w:pStyle w:val="Heading2"/>
      </w:pPr>
      <w:r>
        <w:t xml:space="preserve">The main catalyst: data-center load becoming contracted, regulated investment</w:t>
      </w:r>
    </w:p>
    <w:p>
      <w:pPr>
        <w:pStyle w:val="FirstParagraph"/>
      </w:pPr>
      <w:r>
        <w:t xml:space="preserve">WEC’s differentiation versus many regulated utilities is the scale of projected load growth in Wisconsin:</w:t>
      </w:r>
    </w:p>
    <w:p>
      <w:pPr>
        <w:pStyle w:val="Compact"/>
        <w:numPr>
          <w:ilvl w:val="0"/>
          <w:numId w:val="1003"/>
        </w:numPr>
      </w:pPr>
      <w:r>
        <w:rPr>
          <w:b/>
          <w:bCs/>
        </w:rPr>
        <w:t xml:space="preserve">Microsoft:</w:t>
      </w:r>
      <w:r>
        <w:t xml:space="preserve"> </w:t>
      </w:r>
      <w:r>
        <w:t xml:space="preserve">WEC forecasts up to</w:t>
      </w:r>
      <w:r>
        <w:t xml:space="preserve"> </w:t>
      </w:r>
      <w:r>
        <w:rPr>
          <w:b/>
          <w:bCs/>
        </w:rPr>
        <w:t xml:space="preserve">2.6 GW</w:t>
      </w:r>
      <w:r>
        <w:t xml:space="preserve"> </w:t>
      </w:r>
      <w:r>
        <w:t xml:space="preserve">of demand through 2030 along the Milwaukee–Chicago corridor. Microsoft’s first Mount Pleasant data-center phase began operating in April.</w:t>
      </w:r>
    </w:p>
    <w:p>
      <w:pPr>
        <w:pStyle w:val="Compact"/>
        <w:numPr>
          <w:ilvl w:val="0"/>
          <w:numId w:val="1003"/>
        </w:numPr>
      </w:pPr>
      <w:r>
        <w:rPr>
          <w:b/>
          <w:bCs/>
        </w:rPr>
        <w:t xml:space="preserve">Vantage / Oracle:</w:t>
      </w:r>
      <w:r>
        <w:t xml:space="preserve"> </w:t>
      </w:r>
      <w:r>
        <w:t xml:space="preserve">WEC forecasts</w:t>
      </w:r>
      <w:r>
        <w:t xml:space="preserve"> </w:t>
      </w:r>
      <w:r>
        <w:rPr>
          <w:b/>
          <w:bCs/>
        </w:rPr>
        <w:t xml:space="preserve">1.3 GW</w:t>
      </w:r>
      <w:r>
        <w:t xml:space="preserve"> </w:t>
      </w:r>
      <w:r>
        <w:t xml:space="preserve">of demand through 2030 at the Port Washington site, with longer-term potential up to</w:t>
      </w:r>
      <w:r>
        <w:t xml:space="preserve"> </w:t>
      </w:r>
      <w:r>
        <w:rPr>
          <w:b/>
          <w:bCs/>
        </w:rPr>
        <w:t xml:space="preserve">3.5 GW</w:t>
      </w:r>
      <w:r>
        <w:t xml:space="preserve">.</w:t>
      </w:r>
    </w:p>
    <w:p>
      <w:pPr>
        <w:pStyle w:val="Compact"/>
        <w:numPr>
          <w:ilvl w:val="0"/>
          <w:numId w:val="1003"/>
        </w:numPr>
      </w:pPr>
      <w:r>
        <w:t xml:space="preserve">In aggregate, management has discussed approximately</w:t>
      </w:r>
      <w:r>
        <w:t xml:space="preserve"> </w:t>
      </w:r>
      <w:r>
        <w:rPr>
          <w:b/>
          <w:bCs/>
        </w:rPr>
        <w:t xml:space="preserve">3.9 GW</w:t>
      </w:r>
      <w:r>
        <w:t xml:space="preserve"> </w:t>
      </w:r>
      <w:r>
        <w:t xml:space="preserve">of added electric demand in its 2026–30 plan—roughly a</w:t>
      </w:r>
      <w:r>
        <w:t xml:space="preserve"> </w:t>
      </w:r>
      <w:r>
        <w:rPr>
          <w:b/>
          <w:bCs/>
        </w:rPr>
        <w:t xml:space="preserve">45%</w:t>
      </w:r>
      <w:r>
        <w:t xml:space="preserve"> </w:t>
      </w:r>
      <w:r>
        <w:t xml:space="preserve">increase in Wisconsin electric demand.</w:t>
      </w:r>
    </w:p>
    <w:p>
      <w:pPr>
        <w:pStyle w:val="FirstParagraph"/>
      </w:pPr>
      <w:r>
        <w:t xml:space="preserve">The investment case improves materially if management can show that these headline opportunities are shifting from prospective load to firm commitments, specific generation and transmission projects, and clearly recoverable capital.</w:t>
      </w:r>
    </w:p>
    <w:bookmarkStart w:id="14" w:name="what-to-listen-for"/>
    <w:p>
      <w:pPr>
        <w:pStyle w:val="Heading3"/>
      </w:pPr>
      <w:r>
        <w:t xml:space="preserve">What to listen for</w:t>
      </w:r>
    </w:p>
    <w:p>
      <w:pPr>
        <w:pStyle w:val="Compact"/>
        <w:numPr>
          <w:ilvl w:val="0"/>
          <w:numId w:val="1004"/>
        </w:numPr>
      </w:pPr>
      <w:r>
        <w:t xml:space="preserve">Construction and energization milestones at Microsoft and Vantage.</w:t>
      </w:r>
    </w:p>
    <w:p>
      <w:pPr>
        <w:pStyle w:val="Compact"/>
        <w:numPr>
          <w:ilvl w:val="0"/>
          <w:numId w:val="1004"/>
        </w:numPr>
      </w:pPr>
      <w:r>
        <w:t xml:space="preserve">Updates on additional large-load customers, which management suggested could be discussed later in 2026.</w:t>
      </w:r>
    </w:p>
    <w:p>
      <w:pPr>
        <w:pStyle w:val="Compact"/>
        <w:numPr>
          <w:ilvl w:val="0"/>
          <w:numId w:val="1004"/>
        </w:numPr>
      </w:pPr>
      <w:r>
        <w:t xml:space="preserve">The amount of incremental capex likely to enter the next five-year plan.</w:t>
      </w:r>
    </w:p>
    <w:p>
      <w:pPr>
        <w:pStyle w:val="Compact"/>
        <w:numPr>
          <w:ilvl w:val="0"/>
          <w:numId w:val="1004"/>
        </w:numPr>
      </w:pPr>
      <w:r>
        <w:t xml:space="preserve">Evidence that dedicated assets for very large customers will earn returns without shifting costs to legacy customers.</w:t>
      </w:r>
    </w:p>
    <w:p>
      <w:pPr>
        <w:pStyle w:val="Compact"/>
        <w:numPr>
          <w:ilvl w:val="0"/>
          <w:numId w:val="1004"/>
        </w:numPr>
      </w:pPr>
      <w:r>
        <w:t xml:space="preserve">Transmission approvals and equipment/supply-chain readiness.</w:t>
      </w:r>
    </w:p>
    <w:bookmarkEnd w:id="14"/>
    <w:bookmarkEnd w:id="15"/>
    <w:bookmarkStart w:id="16" w:name="X3b6ffac01cf3de557a3221773150866276e35e3"/>
    <w:p>
      <w:pPr>
        <w:pStyle w:val="Heading2"/>
      </w:pPr>
      <w:r>
        <w:t xml:space="preserve">Regulatory read-through: positive direction, but still not fully closed</w:t>
      </w:r>
    </w:p>
    <w:p>
      <w:pPr>
        <w:pStyle w:val="FirstParagraph"/>
      </w:pPr>
      <w:r>
        <w:t xml:space="preserve">The Wisconsin Public Service Commission gave</w:t>
      </w:r>
      <w:r>
        <w:t xml:space="preserve"> </w:t>
      </w:r>
      <w:r>
        <w:rPr>
          <w:b/>
          <w:bCs/>
        </w:rPr>
        <w:t xml:space="preserve">verbal approval</w:t>
      </w:r>
      <w:r>
        <w:t xml:space="preserve"> </w:t>
      </w:r>
      <w:r>
        <w:t xml:space="preserve">in April to WEC’s Very Large Customer tariff. The framework is central to the thesis because it applies to customers with at least 100 MW of new load and provides for dedicated resources, long contract durations, fixed returns, and customer responsibility for stranded net book value if assets cannot be repurposed.</w:t>
      </w:r>
    </w:p>
    <w:p>
      <w:pPr>
        <w:pStyle w:val="BodyText"/>
      </w:pPr>
      <w:r>
        <w:t xml:space="preserve">For investors, the key question is whether there is now a</w:t>
      </w:r>
      <w:r>
        <w:t xml:space="preserve"> </w:t>
      </w:r>
      <w:r>
        <w:rPr>
          <w:b/>
          <w:bCs/>
        </w:rPr>
        <w:t xml:space="preserve">final written order</w:t>
      </w:r>
      <w:r>
        <w:t xml:space="preserve"> </w:t>
      </w:r>
      <w:r>
        <w:t xml:space="preserve">with terms consistent with management’s presentation. Any change that weakens cost protection, limits recovery, or delays deployment would matter more to the stock than a few cents of quarterly EPS.</w:t>
      </w:r>
    </w:p>
    <w:p>
      <w:pPr>
        <w:pStyle w:val="BodyText"/>
      </w:pPr>
      <w:r>
        <w:t xml:space="preserve">The next conventional regulatory milestones are also substantial:</w:t>
      </w:r>
    </w:p>
    <w:p>
      <w:pPr>
        <w:pStyle w:val="Compact"/>
        <w:numPr>
          <w:ilvl w:val="0"/>
          <w:numId w:val="1005"/>
        </w:numPr>
      </w:pPr>
      <w:r>
        <w:rPr>
          <w:b/>
          <w:bCs/>
        </w:rPr>
        <w:t xml:space="preserve">Wisconsin general rate cases:</w:t>
      </w:r>
      <w:r>
        <w:t xml:space="preserve"> </w:t>
      </w:r>
      <w:r>
        <w:t xml:space="preserve">WEC seeks new rates effective January 1, 2027 and 2028. The company proposed 9.9% ROEs and modest base-rate increases, with decisions expected in 4Q26.</w:t>
      </w:r>
    </w:p>
    <w:p>
      <w:pPr>
        <w:pStyle w:val="Compact"/>
        <w:numPr>
          <w:ilvl w:val="0"/>
          <w:numId w:val="1005"/>
        </w:numPr>
      </w:pPr>
      <w:r>
        <w:rPr>
          <w:b/>
          <w:bCs/>
        </w:rPr>
        <w:t xml:space="preserve">Illinois:</w:t>
      </w:r>
      <w:r>
        <w:t xml:space="preserve"> </w:t>
      </w:r>
      <w:r>
        <w:t xml:space="preserve">The proposed settlement of legacy QIP and uncollectible riders would resolve 12 open proceedings, but remains subject to ICC approval. WEC’s Illinois rate cases are also expected to be decided in 4Q26.</w:t>
      </w:r>
    </w:p>
    <w:p>
      <w:pPr>
        <w:pStyle w:val="FirstParagraph"/>
      </w:pPr>
      <w:r>
        <w:t xml:space="preserve">This creates a fairly clear cadence: 2Q results should mainly validate execution, while regulatory decisions later this year will help determine the confidence investors assign to the 2027–30 earnings trajectory.</w:t>
      </w:r>
    </w:p>
    <w:bookmarkEnd w:id="16"/>
    <w:bookmarkStart w:id="17" w:name="Xa16514eefb4aba53715b162ba58be8ba9dc744e"/>
    <w:p>
      <w:pPr>
        <w:pStyle w:val="Heading2"/>
      </w:pPr>
      <w:r>
        <w:t xml:space="preserve">Capital plan: exceptional opportunity, substantial execution requirement</w:t>
      </w:r>
    </w:p>
    <w:p>
      <w:pPr>
        <w:pStyle w:val="FirstParagraph"/>
      </w:pPr>
      <w:r>
        <w:t xml:space="preserve">WEC’s 2026–30 capital plan totals</w:t>
      </w:r>
      <w:r>
        <w:t xml:space="preserve"> </w:t>
      </w:r>
      <w:r>
        <w:rPr>
          <w:b/>
          <w:bCs/>
        </w:rPr>
        <w:t xml:space="preserve">$37.5 billion</w:t>
      </w:r>
      <w:r>
        <w:t xml:space="preserve">, its largest ever. It includes: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Capital category</w:t>
            </w:r>
          </w:p>
        </w:tc>
        <w:tc>
          <w:tcPr/>
          <w:p>
            <w:pPr>
              <w:pStyle w:val="Compact"/>
              <w:jc w:val="right"/>
            </w:pPr>
            <w:r>
              <w:t xml:space="preserve">2026–30 investment</w:t>
            </w:r>
          </w:p>
        </w:tc>
      </w:tr>
      <w:tr>
        <w:tc>
          <w:tcPr/>
          <w:p>
            <w:pPr>
              <w:pStyle w:val="Compact"/>
            </w:pPr>
            <w:r>
              <w:t xml:space="preserve">Electric generation</w:t>
            </w:r>
          </w:p>
        </w:tc>
        <w:tc>
          <w:tcPr/>
          <w:p>
            <w:pPr>
              <w:pStyle w:val="Compact"/>
              <w:jc w:val="right"/>
            </w:pPr>
            <w:r>
              <w:t xml:space="preserve">$20.3B</w:t>
            </w:r>
          </w:p>
        </w:tc>
      </w:tr>
      <w:tr>
        <w:tc>
          <w:tcPr/>
          <w:p>
            <w:pPr>
              <w:pStyle w:val="Compact"/>
            </w:pPr>
            <w:r>
              <w:t xml:space="preserve">Gas distribution</w:t>
            </w:r>
          </w:p>
        </w:tc>
        <w:tc>
          <w:tcPr/>
          <w:p>
            <w:pPr>
              <w:pStyle w:val="Compact"/>
              <w:jc w:val="right"/>
            </w:pPr>
            <w:r>
              <w:t xml:space="preserve">$7.1B</w:t>
            </w:r>
          </w:p>
        </w:tc>
      </w:tr>
      <w:tr>
        <w:tc>
          <w:tcPr/>
          <w:p>
            <w:pPr>
              <w:pStyle w:val="Compact"/>
            </w:pPr>
            <w:r>
              <w:t xml:space="preserve">Electric distribution</w:t>
            </w:r>
          </w:p>
        </w:tc>
        <w:tc>
          <w:tcPr/>
          <w:p>
            <w:pPr>
              <w:pStyle w:val="Compact"/>
              <w:jc w:val="right"/>
            </w:pPr>
            <w:r>
              <w:t xml:space="preserve">$4.7B</w:t>
            </w:r>
          </w:p>
        </w:tc>
      </w:tr>
      <w:tr>
        <w:tc>
          <w:tcPr/>
          <w:p>
            <w:pPr>
              <w:pStyle w:val="Compact"/>
            </w:pPr>
            <w:r>
              <w:t xml:space="preserve">ATC transmission investment</w:t>
            </w:r>
          </w:p>
        </w:tc>
        <w:tc>
          <w:tcPr/>
          <w:p>
            <w:pPr>
              <w:pStyle w:val="Compact"/>
              <w:jc w:val="right"/>
            </w:pPr>
            <w:r>
              <w:t xml:space="preserve">$4.1B</w:t>
            </w:r>
          </w:p>
        </w:tc>
      </w:tr>
      <w:tr>
        <w:tc>
          <w:tcPr/>
          <w:p>
            <w:pPr>
              <w:pStyle w:val="Compact"/>
            </w:pPr>
            <w:r>
              <w:t xml:space="preserve">Wisconsin LNG capacity</w:t>
            </w:r>
          </w:p>
        </w:tc>
        <w:tc>
          <w:tcPr/>
          <w:p>
            <w:pPr>
              <w:pStyle w:val="Compact"/>
              <w:jc w:val="right"/>
            </w:pPr>
            <w:r>
              <w:t xml:space="preserve">$1.3B</w:t>
            </w:r>
          </w:p>
        </w:tc>
      </w:tr>
    </w:tbl>
    <w:p>
      <w:pPr>
        <w:pStyle w:val="BodyText"/>
      </w:pPr>
      <w:r>
        <w:t xml:space="preserve">The plan supports management’s target of</w:t>
      </w:r>
      <w:r>
        <w:t xml:space="preserve"> </w:t>
      </w:r>
      <w:r>
        <w:rPr>
          <w:b/>
          <w:bCs/>
        </w:rPr>
        <w:t xml:space="preserve">7%–8% compound annual EPS growth</w:t>
      </w:r>
      <w:r>
        <w:t xml:space="preserve"> </w:t>
      </w:r>
      <w:r>
        <w:t xml:space="preserve">from 2026 through 2030, with growth expected to move toward the upper half of that range beginning in 2028.</w:t>
      </w:r>
    </w:p>
    <w:p>
      <w:pPr>
        <w:pStyle w:val="BodyText"/>
      </w:pPr>
      <w:r>
        <w:t xml:space="preserve">The bullish interpretation is that WEC has visible, regulated investment opportunities precisely when demand growth is accelerating. The skeptical interpretation is that the plan embeds large assumptions around regulatory recovery, supply chains, tax-credit eligibility, construction execution, and access to equity and debt capital.</w:t>
      </w:r>
    </w:p>
    <w:bookmarkEnd w:id="17"/>
    <w:bookmarkStart w:id="23" w:name="principal-risks-into-the-report"/>
    <w:p>
      <w:pPr>
        <w:pStyle w:val="Heading2"/>
      </w:pPr>
      <w:r>
        <w:t xml:space="preserve">Principal risks into the report</w:t>
      </w:r>
    </w:p>
    <w:bookmarkStart w:id="18" w:name="X6c5feab62b9d251dd00e2d787b571501d6c9bac"/>
    <w:p>
      <w:pPr>
        <w:pStyle w:val="Heading3"/>
      </w:pPr>
      <w:r>
        <w:t xml:space="preserve">1. Financing and dilution</w:t>
      </w:r>
    </w:p>
    <w:p>
      <w:pPr>
        <w:pStyle w:val="FirstParagraph"/>
      </w:pPr>
      <w:r>
        <w:t xml:space="preserve">The company’s plan assumes</w:t>
      </w:r>
      <w:r>
        <w:t xml:space="preserve"> </w:t>
      </w:r>
      <m:oMath>
        <m:r>
          <m:t>5.3</m:t>
        </m:r>
        <m:r>
          <m:rPr>
            <m:sty m:val="p"/>
          </m:rPr>
          <m:t>–</m:t>
        </m:r>
      </m:oMath>
      <w:r>
        <w:rPr>
          <w:b/>
          <w:bCs/>
        </w:rPr>
        <w:t xml:space="preserve">5.7 billion of common equity</w:t>
      </w:r>
      <w:r>
        <w:t xml:space="preserve"> </w:t>
      </w:r>
      <w:r>
        <w:t xml:space="preserve">over 2026–30, in addition to substantial debt issuance. WEC’s ability to finance growth while maintaining its credit metrics and dividend-growth profile is essential.</w:t>
      </w:r>
    </w:p>
    <w:bookmarkEnd w:id="18"/>
    <w:bookmarkStart w:id="19" w:name="Xfbc78e83747f0a4e86e0a8ab94ee6cc23506330"/>
    <w:p>
      <w:pPr>
        <w:pStyle w:val="Heading3"/>
      </w:pPr>
      <w:r>
        <w:t xml:space="preserve">2. Large-load execution and local opposition</w:t>
      </w:r>
    </w:p>
    <w:p>
      <w:pPr>
        <w:pStyle w:val="FirstParagraph"/>
      </w:pPr>
      <w:r>
        <w:t xml:space="preserve">The data-center opportunity is powerful, but timing, local permitting, transmission approvals, and community acceptance can all affect the pace at which forecasted demand becomes realized load and rate base.</w:t>
      </w:r>
    </w:p>
    <w:bookmarkEnd w:id="19"/>
    <w:bookmarkStart w:id="20" w:name="Xcb856f4b09dbb97722356bb94a8a877dfa49a19"/>
    <w:p>
      <w:pPr>
        <w:pStyle w:val="Heading3"/>
      </w:pPr>
      <w:r>
        <w:t xml:space="preserve">3. Regulatory outcomes</w:t>
      </w:r>
    </w:p>
    <w:p>
      <w:pPr>
        <w:pStyle w:val="FirstParagraph"/>
      </w:pPr>
      <w:r>
        <w:t xml:space="preserve">The Illinois business remains the most obvious regulatory sensitivity. The proposed settlement resolves uncertainty, but includes real economic concessions: a $130 million rate-base reduction and $125 million in customer bill credits over three years.</w:t>
      </w:r>
    </w:p>
    <w:bookmarkEnd w:id="20"/>
    <w:bookmarkStart w:id="21" w:name="X152f63b44c644cee03129de6b64d3db912c8e81"/>
    <w:p>
      <w:pPr>
        <w:pStyle w:val="Heading3"/>
      </w:pPr>
      <w:r>
        <w:t xml:space="preserve">4. Project cost and supply-chain risk</w:t>
      </w:r>
    </w:p>
    <w:p>
      <w:pPr>
        <w:pStyle w:val="FirstParagraph"/>
      </w:pPr>
      <w:r>
        <w:t xml:space="preserve">WEC’s buildout includes solar, batteries, natural-gas generation, LNG capacity, and transmission. Tariffs, solar-panel sourcing rules, inflation, and equipment availability could pressure costs or in-service dates.</w:t>
      </w:r>
    </w:p>
    <w:bookmarkEnd w:id="21"/>
    <w:bookmarkStart w:id="22" w:name="X393b7f94412a86c6c77c2d8e6b17412ee139530"/>
    <w:p>
      <w:pPr>
        <w:pStyle w:val="Heading3"/>
      </w:pPr>
      <w:r>
        <w:t xml:space="preserve">5. Weather and modest near-term volume growth</w:t>
      </w:r>
    </w:p>
    <w:p>
      <w:pPr>
        <w:pStyle w:val="FirstParagraph"/>
      </w:pPr>
      <w:r>
        <w:t xml:space="preserve">2Q earnings are inherently weather-sensitive. More broadly, the near-term sales-growth outlook remains modest; the transformative load growth is primarily a 2027-and-beyond story.</w:t>
      </w:r>
    </w:p>
    <w:bookmarkEnd w:id="22"/>
    <w:bookmarkEnd w:id="23"/>
    <w:bookmarkStart w:id="24" w:name="stock-setup"/>
    <w:p>
      <w:pPr>
        <w:pStyle w:val="Heading2"/>
      </w:pPr>
      <w:r>
        <w:t xml:space="preserve">Stock setup</w:t>
      </w:r>
    </w:p>
    <w:p>
      <w:pPr>
        <w:pStyle w:val="FirstParagraph"/>
      </w:pPr>
      <w:r>
        <w:t xml:space="preserve">WEC closed at</w:t>
      </w:r>
      <w:r>
        <w:t xml:space="preserve"> </w:t>
      </w:r>
      <m:oMath>
        <m:r>
          <m:t>113.64</m:t>
        </m:r>
        <m:r>
          <m:t>o</m:t>
        </m:r>
        <m:r>
          <m:t>n</m:t>
        </m:r>
        <m:r>
          <m:t>J</m:t>
        </m:r>
        <m:r>
          <m:t>u</m:t>
        </m:r>
        <m:r>
          <m:t>l</m:t>
        </m:r>
        <m:r>
          <m:t>y</m:t>
        </m:r>
        <m:r>
          <m:t>28</m:t>
        </m:r>
        <m:r>
          <m:rPr>
            <m:sty m:val="p"/>
          </m:rPr>
          <m:t>*</m:t>
        </m:r>
        <m:r>
          <m:rPr>
            <m:sty m:val="p"/>
          </m:rPr>
          <m:t>*</m:t>
        </m:r>
        <m:r>
          <m:rPr>
            <m:sty m:val="p"/>
          </m:rPr>
          <m:t>,</m:t>
        </m:r>
        <m:r>
          <m:t>u</m:t>
        </m:r>
        <m:r>
          <m:t>p</m:t>
        </m:r>
        <m:r>
          <m:t>a</m:t>
        </m:r>
        <m:r>
          <m:t>b</m:t>
        </m:r>
        <m:r>
          <m:t>o</m:t>
        </m:r>
        <m:r>
          <m:t>u</m:t>
        </m:r>
        <m:r>
          <m:t>t</m:t>
        </m:r>
        <m:r>
          <m:rPr>
            <m:sty m:val="p"/>
          </m:rPr>
          <m:t>*</m:t>
        </m:r>
        <m:r>
          <m:rPr>
            <m:sty m:val="p"/>
          </m:rPr>
          <m:t>*</m:t>
        </m:r>
        <m:r>
          <m:t>6.7</m:t>
        </m:r>
      </m:oMath>
      <w:r>
        <w:rPr>
          <w:b/>
          <w:bCs/>
        </w:rPr>
        <w:t xml:space="preserve">3.81 per share</w:t>
      </w:r>
      <w:r>
        <w:t xml:space="preserve">, the indicated yield is approximately</w:t>
      </w:r>
      <w:r>
        <w:t xml:space="preserve"> </w:t>
      </w:r>
      <w:r>
        <w:rPr>
          <w:b/>
          <w:bCs/>
        </w:rPr>
        <w:t xml:space="preserve">3.35%</w:t>
      </w:r>
      <w:r>
        <w:t xml:space="preserve">.</w:t>
      </w:r>
    </w:p>
    <w:p>
      <w:pPr>
        <w:pStyle w:val="BodyText"/>
      </w:pPr>
      <w:r>
        <w:t xml:space="preserve">That backdrop suggests investors are not only looking for a clean quarter; they are looking for evidence that the company can sustain premium utility growth without taking disproportionate regulatory, financing, or execution risk.</w:t>
      </w:r>
    </w:p>
    <w:bookmarkEnd w:id="24"/>
    <w:bookmarkStart w:id="26" w:name="bottom-line"/>
    <w:p>
      <w:pPr>
        <w:pStyle w:val="Heading2"/>
      </w:pPr>
      <w:r>
        <w:t xml:space="preserve">Bottom line</w:t>
      </w:r>
    </w:p>
    <w:p>
      <w:pPr>
        <w:pStyle w:val="FirstParagraph"/>
      </w:pPr>
      <w:r>
        <w:rPr>
          <w:b/>
          <w:bCs/>
        </w:rPr>
        <w:t xml:space="preserve">Base case:</w:t>
      </w:r>
      <w:r>
        <w:t xml:space="preserve"> </w:t>
      </w:r>
      <w:r>
        <w:t xml:space="preserve">WEC delivers EPS within its</w:t>
      </w:r>
      <w:r>
        <w:t xml:space="preserve"> </w:t>
      </w:r>
      <m:oMath>
        <m:r>
          <m:t>0.76</m:t>
        </m:r>
        <m:r>
          <m:rPr>
            <m:sty m:val="p"/>
          </m:rPr>
          <m:t>–</m:t>
        </m:r>
      </m:oMath>
      <w:r>
        <w:t xml:space="preserve">0.82 range, reaffirms</w:t>
      </w:r>
      <w:r>
        <w:t xml:space="preserve"> </w:t>
      </w:r>
      <m:oMath>
        <m:r>
          <m:t>5.51</m:t>
        </m:r>
        <m:r>
          <m:rPr>
            <m:sty m:val="p"/>
          </m:rPr>
          <m:t>–</m:t>
        </m:r>
      </m:oMath>
      <w:r>
        <w:t xml:space="preserve">5.61 full-year guidance, and reiterates that data-center projects and the 2026–30 capital plan remain on track. That would preserve the long-term growth narrative.</w:t>
      </w:r>
    </w:p>
    <w:p>
      <w:pPr>
        <w:pStyle w:val="BodyText"/>
      </w:pPr>
      <w:r>
        <w:rPr>
          <w:b/>
          <w:bCs/>
        </w:rPr>
        <w:t xml:space="preserve">Bull case:</w:t>
      </w:r>
      <w:r>
        <w:t xml:space="preserve"> </w:t>
      </w:r>
      <w:r>
        <w:t xml:space="preserve">EPS exceeds the range, management confirms a favorable final VLC tariff, provides firm additional large-load commitments or capex opportunities, and indicates no material project-cost or financing pressure.</w:t>
      </w:r>
    </w:p>
    <w:p>
      <w:pPr>
        <w:pStyle w:val="BodyText"/>
      </w:pPr>
      <w:r>
        <w:rPr>
          <w:b/>
          <w:bCs/>
        </w:rPr>
        <w:t xml:space="preserve">Bear case:</w:t>
      </w:r>
      <w:r>
        <w:t xml:space="preserve"> </w:t>
      </w:r>
      <w:r>
        <w:t xml:space="preserve">A weather/O&amp;M-driven miss is accompanied by slower large-load conversion, an unfavorable tariff wrinkle, higher capex costs, or a more cautious outlook on equity needs and credit metrics.</w:t>
      </w:r>
    </w:p>
    <w:bookmarkStart w:id="25" w:name="highest-value-questions-for-management"/>
    <w:p>
      <w:pPr>
        <w:pStyle w:val="Heading3"/>
      </w:pPr>
      <w:r>
        <w:t xml:space="preserve">Highest-value questions for management</w:t>
      </w:r>
    </w:p>
    <w:p>
      <w:pPr>
        <w:pStyle w:val="Compact"/>
        <w:numPr>
          <w:ilvl w:val="0"/>
          <w:numId w:val="1006"/>
        </w:numPr>
      </w:pPr>
      <w:r>
        <w:t xml:space="preserve">Has the PSCW issued the final written VLC-tariff order, and are its terms fully consistent with the April verbal decision?</w:t>
      </w:r>
    </w:p>
    <w:p>
      <w:pPr>
        <w:pStyle w:val="Compact"/>
        <w:numPr>
          <w:ilvl w:val="0"/>
          <w:numId w:val="1006"/>
        </w:numPr>
      </w:pPr>
      <w:r>
        <w:t xml:space="preserve">What has changed in the probability-weighted load forecast for Microsoft, Vantage/Oracle, and any additional customers since May?</w:t>
      </w:r>
    </w:p>
    <w:p>
      <w:pPr>
        <w:pStyle w:val="Compact"/>
        <w:numPr>
          <w:ilvl w:val="0"/>
          <w:numId w:val="1006"/>
        </w:numPr>
      </w:pPr>
      <w:r>
        <w:t xml:space="preserve">How much incremental generation, transmission, and distribution capex could be added to the next plan?</w:t>
      </w:r>
    </w:p>
    <w:p>
      <w:pPr>
        <w:pStyle w:val="Compact"/>
        <w:numPr>
          <w:ilvl w:val="0"/>
          <w:numId w:val="1006"/>
        </w:numPr>
      </w:pPr>
      <w:r>
        <w:t xml:space="preserve">Are Oak Creek CTs, Paris RICE, LNG, solar, and battery projects on time and on budget?</w:t>
      </w:r>
    </w:p>
    <w:p>
      <w:pPr>
        <w:pStyle w:val="Compact"/>
        <w:numPr>
          <w:ilvl w:val="0"/>
          <w:numId w:val="1006"/>
        </w:numPr>
      </w:pPr>
      <w:r>
        <w:t xml:space="preserve">Has the outlook for 2026 equity issuance changed from the prior up-to-$1.1 billion expectation?</w:t>
      </w:r>
    </w:p>
    <w:p>
      <w:pPr>
        <w:pStyle w:val="Compact"/>
        <w:numPr>
          <w:ilvl w:val="0"/>
          <w:numId w:val="1006"/>
        </w:numPr>
      </w:pPr>
      <w:r>
        <w:t xml:space="preserve">What portion of favorable 1Q O&amp;M timing has reversed in 2Q, and is the full-year 3%–5% O&amp;M-growth outlook unchanged?</w:t>
      </w:r>
    </w:p>
    <w:p>
      <w:pPr>
        <w:pStyle w:val="Compact"/>
        <w:numPr>
          <w:ilvl w:val="0"/>
          <w:numId w:val="1006"/>
        </w:numPr>
      </w:pPr>
      <w:r>
        <w:t xml:space="preserve">Has there been any meaningful update on the Illinois rider settlement or the 2027 rate-case trajectory?</w:t>
      </w:r>
    </w:p>
    <w:bookmarkEnd w:id="25"/>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2026-07-29T01:09:58Z</dcterms:created>
  <dcterms:modified xsi:type="dcterms:W3CDTF">2026-07-29T01:09:58Z</dcterms:modified>
</cp:coreProperties>
</file>

<file path=docProps/custom.xml><?xml version="1.0" encoding="utf-8"?>
<Properties xmlns="http://schemas.openxmlformats.org/officeDocument/2006/custom-properties" xmlns:vt="http://schemas.openxmlformats.org/officeDocument/2006/docPropsVTypes"/>
</file>