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WEC Energy Group (WEC)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WEC Energy Group, Inc.</w:t>
            </w:r>
          </w:p>
        </w:tc>
      </w:tr>
      <w:tr>
        <w:tc>
          <w:tcPr>
            <w:tcW w:type="dxa" w:w="4320"/>
          </w:tcPr>
          <w:p>
            <w:r>
              <w:rPr>
                <w:rFonts w:ascii="Calibri" w:hAnsi="Calibri"/>
                <w:b/>
                <w:sz w:val="22"/>
              </w:rPr>
              <w:t>Ticker</w:t>
            </w:r>
          </w:p>
        </w:tc>
        <w:tc>
          <w:tcPr>
            <w:tcW w:type="dxa" w:w="4320"/>
          </w:tcPr>
          <w:p>
            <w:r>
              <w:rPr>
                <w:rFonts w:ascii="Calibri" w:hAnsi="Calibri"/>
                <w:sz w:val="22"/>
              </w:rPr>
              <w:t>NYSE: WEC</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(before market open)</w:t>
            </w:r>
          </w:p>
        </w:tc>
      </w:tr>
      <w:tr>
        <w:tc>
          <w:tcPr>
            <w:tcW w:type="dxa" w:w="4320"/>
          </w:tcPr>
          <w:p>
            <w:r>
              <w:rPr>
                <w:rFonts w:ascii="Calibri" w:hAnsi="Calibri"/>
                <w:b/>
                <w:sz w:val="22"/>
              </w:rPr>
              <w:t>Last Earnings</w:t>
            </w:r>
          </w:p>
        </w:tc>
        <w:tc>
          <w:tcPr>
            <w:tcW w:type="dxa" w:w="4320"/>
          </w:tcPr>
          <w:p>
            <w:r>
              <w:rPr>
                <w:rFonts w:ascii="Calibri" w:hAnsi="Calibri"/>
                <w:sz w:val="22"/>
              </w:rPr>
              <w:t>Q1 2026 — May 5,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 ETF Benchmark</w:t>
            </w:r>
          </w:p>
        </w:tc>
        <w:tc>
          <w:tcPr>
            <w:tcW w:type="dxa" w:w="4320"/>
          </w:tcPr>
          <w:p>
            <w:r>
              <w:rPr>
                <w:rFonts w:ascii="Calibri" w:hAnsi="Calibri"/>
                <w:sz w:val="22"/>
              </w:rPr>
              <w:t>Utilities / XLU</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sits at the low end of management’s own Q2 guidance range ($0.79 midpoint vs. $0.76–$0.82 guide), leaving a realistic path to a beat, but the stock has already given back its post-Q1 gains and the real swing factor is whether management signals a new hyperscaler customer announcement on the Q3 call.</w:t>
      </w:r>
    </w:p>
    <w:p>
      <w:r>
        <w:rPr>
          <w:rFonts w:ascii="Calibri" w:hAnsi="Calibri"/>
          <w:color w:val="525866"/>
          <w:sz w:val="22"/>
        </w:rPr>
        <w:t xml:space="preserve">Heading into Q2 2026 results, the bar for WEC is achievable but not low. Consensus EPS of ~$0.81 sits near the midpoint of management’s own $0.76–$0.82 Q2 guidance range (provided on the May 5 Q1 call, accounting for April weather actuals), and WEC has beaten consensus in each of the past four quarters, including a substantial $0.15 beat in Q1 2026 ($2.45 reported vs. $2.30 consensus). </w:t>
      </w:r>
      <w:r>
        <w:rPr>
          <w:rFonts w:ascii="Calibri" w:hAnsi="Calibri"/>
          <w:b/>
          <w:color w:val="525866"/>
          <w:sz w:val="22"/>
        </w:rPr>
        <w:t>Management’s tone has been assertive and confident</w:t>
      </w:r>
      <w:r>
        <w:rPr>
          <w:rFonts w:ascii="Calibri" w:hAnsi="Calibri"/>
          <w:color w:val="525866"/>
          <w:sz w:val="22"/>
        </w:rPr>
        <w:t xml:space="preserve"> — the VLC tariff received verbal PSC approval on April 24, the May 11 Investor Update reiterated the $37.5B capital plan and 7–8% EPS CAGR, and CEO Lauber explicitly signaled a likely new hyperscaler announcement on the Q3 call. Estimate revisions have turned modestly negative (EPS estimates down ~1.5% over the past 60 days per internet sources), suggesting the street is not chasing the story higher ahead of the print, which creates a modest cushion. The stock has declined ~1.4% since the Q1 earnings date (vs. XLU −1.8% and SPY +2.4%), trading roughly 8–9% below the consensus analyst price target of ~$124, implying the market has not priced in a beat. The </w:t>
      </w:r>
      <w:r>
        <w:rPr>
          <w:rFonts w:ascii="Calibri" w:hAnsi="Calibri"/>
          <w:b/>
          <w:color w:val="525866"/>
          <w:sz w:val="22"/>
        </w:rPr>
        <w:t>key wildcard is the new hyperscaler announcement</w:t>
      </w:r>
      <w:r>
        <w:rPr>
          <w:rFonts w:ascii="Calibri" w:hAnsi="Calibri"/>
          <w:color w:val="525866"/>
          <w:sz w:val="22"/>
        </w:rPr>
        <w:t>: management guided to a Q3 disclosure, but any pull-forward signal on the earnings call — or confirmation that discussions with additional data center customers are advancing — could be the catalyst that re-rates the stock, given that approved sites alone could support an additional 4–5 GW of demand beyond the current 3.9 GW plan.</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EPS of $0.81 is a manageable bar — within management’s own guidance range and below the Q2 2025 actual of $0.76 on an adjusted basis (implying ~7% YoY growth). Operating revenue is the bigger swing factor given weather-normalized load growth trends and data center ramp timing.</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EPS — Diluted Operating ($)</w:t>
            </w:r>
          </w:p>
        </w:tc>
        <w:tc>
          <w:tcPr>
            <w:tcW w:type="dxa" w:w="1234"/>
          </w:tcPr>
          <w:p>
            <w:r>
              <w:rPr>
                <w:rFonts w:ascii="Calibri" w:hAnsi="Calibri"/>
                <w:sz w:val="22"/>
              </w:rPr>
              <w:t>$2.45</w:t>
            </w:r>
          </w:p>
        </w:tc>
        <w:tc>
          <w:tcPr>
            <w:tcW w:type="dxa" w:w="1234"/>
          </w:tcPr>
          <w:p>
            <w:r>
              <w:rPr>
                <w:rFonts w:ascii="Calibri" w:hAnsi="Calibri"/>
                <w:sz w:val="22"/>
              </w:rPr>
              <w:t>$0.76</w:t>
            </w:r>
          </w:p>
        </w:tc>
        <w:tc>
          <w:tcPr>
            <w:tcW w:type="dxa" w:w="1234"/>
          </w:tcPr>
          <w:p>
            <w:r>
              <w:rPr>
                <w:rFonts w:ascii="Calibri" w:hAnsi="Calibri"/>
                <w:sz w:val="22"/>
              </w:rPr>
              <w:t>$0.81</w:t>
            </w:r>
          </w:p>
        </w:tc>
        <w:tc>
          <w:tcPr>
            <w:tcW w:type="dxa" w:w="1234"/>
          </w:tcPr>
          <w:p>
            <w:r>
              <w:rPr>
                <w:rFonts w:ascii="Calibri" w:hAnsi="Calibri"/>
                <w:sz w:val="22"/>
              </w:rPr>
              <w:t>+6.6%</w:t>
            </w:r>
          </w:p>
        </w:tc>
        <w:tc>
          <w:tcPr>
            <w:tcW w:type="dxa" w:w="1234"/>
          </w:tcPr>
          <w:p>
            <w:r>
              <w:rPr>
                <w:rFonts w:ascii="Calibri" w:hAnsi="Calibri"/>
                <w:sz w:val="22"/>
              </w:rPr>
              <w:t>$0.76–$0.82 ($0.79 mid)</w:t>
            </w:r>
          </w:p>
        </w:tc>
        <w:tc>
          <w:tcPr>
            <w:tcW w:type="dxa" w:w="1234"/>
          </w:tcPr>
          <w:p>
            <w:r>
              <w:rPr>
                <w:rFonts w:ascii="Calibri" w:hAnsi="Calibri"/>
                <w:sz w:val="22"/>
              </w:rPr>
              <w:t>+2.5% above mid</w:t>
            </w:r>
          </w:p>
        </w:tc>
      </w:tr>
      <w:tr>
        <w:tc>
          <w:tcPr>
            <w:tcW w:type="dxa" w:w="1234"/>
          </w:tcPr>
          <w:p>
            <w:r>
              <w:rPr>
                <w:rFonts w:ascii="Calibri" w:hAnsi="Calibri"/>
                <w:sz w:val="22"/>
              </w:rPr>
              <w:t>Operating Revenues ($M)</w:t>
            </w:r>
          </w:p>
        </w:tc>
        <w:tc>
          <w:tcPr>
            <w:tcW w:type="dxa" w:w="1234"/>
          </w:tcPr>
          <w:p>
            <w:r>
              <w:rPr>
                <w:rFonts w:ascii="Calibri" w:hAnsi="Calibri"/>
                <w:sz w:val="22"/>
              </w:rPr>
              <w:t>$3,434</w:t>
            </w:r>
          </w:p>
        </w:tc>
        <w:tc>
          <w:tcPr>
            <w:tcW w:type="dxa" w:w="1234"/>
          </w:tcPr>
          <w:p>
            <w:r>
              <w:rPr>
                <w:rFonts w:ascii="Calibri" w:hAnsi="Calibri"/>
                <w:sz w:val="22"/>
              </w:rPr>
              <w:t>$2,010</w:t>
            </w:r>
          </w:p>
        </w:tc>
        <w:tc>
          <w:tcPr>
            <w:tcW w:type="dxa" w:w="1234"/>
          </w:tcPr>
          <w:p>
            <w:r>
              <w:rPr>
                <w:rFonts w:ascii="Calibri" w:hAnsi="Calibri"/>
                <w:sz w:val="22"/>
              </w:rPr>
              <w:t>$2,089</w:t>
            </w:r>
          </w:p>
        </w:tc>
        <w:tc>
          <w:tcPr>
            <w:tcW w:type="dxa" w:w="1234"/>
          </w:tcPr>
          <w:p>
            <w:r>
              <w:rPr>
                <w:rFonts w:ascii="Calibri" w:hAnsi="Calibri"/>
                <w:sz w:val="22"/>
              </w:rPr>
              <w:t>+3.9%</w:t>
            </w:r>
          </w:p>
        </w:tc>
        <w:tc>
          <w:tcPr>
            <w:tcW w:type="dxa" w:w="1234"/>
          </w:tcPr>
          <w:p>
            <w:r>
              <w:rPr>
                <w:rFonts w:ascii="Calibri" w:hAnsi="Calibri"/>
                <w:sz w:val="22"/>
              </w:rPr>
              <w:t>N/A (no quarterly revenue guide)</w:t>
            </w:r>
          </w:p>
        </w:tc>
        <w:tc>
          <w:tcPr>
            <w:tcW w:type="dxa" w:w="1234"/>
          </w:tcPr>
          <w:p>
            <w:r>
              <w:rPr>
                <w:rFonts w:ascii="Calibri" w:hAnsi="Calibri"/>
                <w:sz w:val="22"/>
              </w:rPr>
              <w:t>N/A</w:t>
            </w:r>
          </w:p>
        </w:tc>
      </w:tr>
      <w:tr>
        <w:tc>
          <w:tcPr>
            <w:tcW w:type="dxa" w:w="1234"/>
          </w:tcPr>
          <w:p>
            <w:r>
              <w:rPr>
                <w:rFonts w:ascii="Calibri" w:hAnsi="Calibri"/>
                <w:sz w:val="22"/>
              </w:rPr>
              <w:t>Operating Income ($M)</w:t>
            </w:r>
          </w:p>
        </w:tc>
        <w:tc>
          <w:tcPr>
            <w:tcW w:type="dxa" w:w="1234"/>
          </w:tcPr>
          <w:p>
            <w:r>
              <w:rPr>
                <w:rFonts w:ascii="Calibri" w:hAnsi="Calibri"/>
                <w:sz w:val="22"/>
              </w:rPr>
              <w:t>$980</w:t>
            </w:r>
          </w:p>
        </w:tc>
        <w:tc>
          <w:tcPr>
            <w:tcW w:type="dxa" w:w="1234"/>
          </w:tcPr>
          <w:p>
            <w:r>
              <w:rPr>
                <w:rFonts w:ascii="Calibri" w:hAnsi="Calibri"/>
                <w:sz w:val="22"/>
              </w:rPr>
              <w:t>$405</w:t>
            </w:r>
          </w:p>
        </w:tc>
        <w:tc>
          <w:tcPr>
            <w:tcW w:type="dxa" w:w="1234"/>
          </w:tcPr>
          <w:p>
            <w:r>
              <w:rPr>
                <w:rFonts w:ascii="Calibri" w:hAnsi="Calibri"/>
                <w:sz w:val="22"/>
              </w:rPr>
              <w:t>$461</w:t>
            </w:r>
          </w:p>
        </w:tc>
        <w:tc>
          <w:tcPr>
            <w:tcW w:type="dxa" w:w="1234"/>
          </w:tcPr>
          <w:p>
            <w:r>
              <w:rPr>
                <w:rFonts w:ascii="Calibri" w:hAnsi="Calibri"/>
                <w:sz w:val="22"/>
              </w:rPr>
              <w:t>+13.8%</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Capital Expenditures ($M)</w:t>
            </w:r>
          </w:p>
        </w:tc>
        <w:tc>
          <w:tcPr>
            <w:tcW w:type="dxa" w:w="1234"/>
          </w:tcPr>
          <w:p>
            <w:r>
              <w:rPr>
                <w:rFonts w:ascii="Calibri" w:hAnsi="Calibri"/>
                <w:sz w:val="22"/>
              </w:rPr>
              <w:t>$818</w:t>
            </w:r>
          </w:p>
        </w:tc>
        <w:tc>
          <w:tcPr>
            <w:tcW w:type="dxa" w:w="1234"/>
          </w:tcPr>
          <w:p>
            <w:r>
              <w:rPr>
                <w:rFonts w:ascii="Calibri" w:hAnsi="Calibri"/>
                <w:sz w:val="22"/>
              </w:rPr>
              <w:t>$829</w:t>
            </w:r>
          </w:p>
        </w:tc>
        <w:tc>
          <w:tcPr>
            <w:tcW w:type="dxa" w:w="1234"/>
          </w:tcPr>
          <w:p>
            <w:r>
              <w:rPr>
                <w:rFonts w:ascii="Calibri" w:hAnsi="Calibri"/>
                <w:sz w:val="22"/>
              </w:rPr>
              <w:t>$1,382</w:t>
            </w:r>
          </w:p>
        </w:tc>
        <w:tc>
          <w:tcPr>
            <w:tcW w:type="dxa" w:w="1234"/>
          </w:tcPr>
          <w:p>
            <w:r>
              <w:rPr>
                <w:rFonts w:ascii="Calibri" w:hAnsi="Calibri"/>
                <w:sz w:val="22"/>
              </w:rPr>
              <w:t>+66.7%</w:t>
            </w:r>
          </w:p>
        </w:tc>
        <w:tc>
          <w:tcPr>
            <w:tcW w:type="dxa" w:w="1234"/>
          </w:tcPr>
          <w:p>
            <w:r>
              <w:rPr>
                <w:rFonts w:ascii="Calibri" w:hAnsi="Calibri"/>
                <w:sz w:val="22"/>
              </w:rPr>
              <w:t>N/A (FY guide: $5.7B)</w:t>
            </w:r>
          </w:p>
        </w:tc>
        <w:tc>
          <w:tcPr>
            <w:tcW w:type="dxa" w:w="1234"/>
          </w:tcPr>
          <w:p>
            <w:r>
              <w:rPr>
                <w:rFonts w:ascii="Calibri" w:hAnsi="Calibri"/>
                <w:sz w:val="22"/>
              </w:rPr>
              <w:t>N/A</w:t>
            </w:r>
          </w:p>
        </w:tc>
      </w:tr>
      <w:tr>
        <w:tc>
          <w:tcPr>
            <w:tcW w:type="dxa" w:w="1234"/>
          </w:tcPr>
          <w:p>
            <w:r>
              <w:rPr>
                <w:rFonts w:ascii="Calibri" w:hAnsi="Calibri"/>
                <w:sz w:val="22"/>
              </w:rPr>
              <w:t>Dividends Per Share ($)</w:t>
            </w:r>
          </w:p>
        </w:tc>
        <w:tc>
          <w:tcPr>
            <w:tcW w:type="dxa" w:w="1234"/>
          </w:tcPr>
          <w:p>
            <w:r>
              <w:rPr>
                <w:rFonts w:ascii="Calibri" w:hAnsi="Calibri"/>
                <w:sz w:val="22"/>
              </w:rPr>
              <w:t>$0.9525</w:t>
            </w:r>
          </w:p>
        </w:tc>
        <w:tc>
          <w:tcPr>
            <w:tcW w:type="dxa" w:w="1234"/>
          </w:tcPr>
          <w:p>
            <w:r>
              <w:rPr>
                <w:rFonts w:ascii="Calibri" w:hAnsi="Calibri"/>
                <w:sz w:val="22"/>
              </w:rPr>
              <w:t>$0.8925</w:t>
            </w:r>
          </w:p>
        </w:tc>
        <w:tc>
          <w:tcPr>
            <w:tcW w:type="dxa" w:w="1234"/>
          </w:tcPr>
          <w:p>
            <w:r>
              <w:rPr>
                <w:rFonts w:ascii="Calibri" w:hAnsi="Calibri"/>
                <w:sz w:val="22"/>
              </w:rPr>
              <w:t>$0.9525</w:t>
            </w:r>
          </w:p>
        </w:tc>
        <w:tc>
          <w:tcPr>
            <w:tcW w:type="dxa" w:w="1234"/>
          </w:tcPr>
          <w:p>
            <w:r>
              <w:rPr>
                <w:rFonts w:ascii="Calibri" w:hAnsi="Calibri"/>
                <w:sz w:val="22"/>
              </w:rPr>
              <w:t>+6.7%</w:t>
            </w:r>
          </w:p>
        </w:tc>
        <w:tc>
          <w:tcPr>
            <w:tcW w:type="dxa" w:w="1234"/>
          </w:tcPr>
          <w:p>
            <w:r>
              <w:rPr>
                <w:rFonts w:ascii="Calibri" w:hAnsi="Calibri"/>
                <w:sz w:val="22"/>
              </w:rPr>
              <w:t>$3.81 annualized</w:t>
            </w:r>
          </w:p>
        </w:tc>
        <w:tc>
          <w:tcPr>
            <w:tcW w:type="dxa" w:w="1234"/>
          </w:tcPr>
          <w:p>
            <w:r>
              <w:rPr>
                <w:rFonts w:ascii="Calibri" w:hAnsi="Calibri"/>
                <w:sz w:val="22"/>
              </w:rPr>
              <w:t>In line</w:t>
            </w:r>
          </w:p>
        </w:tc>
      </w:tr>
      <w:tr>
        <w:tc>
          <w:tcPr>
            <w:tcW w:type="dxa" w:w="1234"/>
          </w:tcPr>
          <w:p>
            <w:r>
              <w:rPr>
                <w:rFonts w:ascii="Calibri" w:hAnsi="Calibri"/>
                <w:sz w:val="22"/>
              </w:rPr>
              <w:t>FY 2026 EPS — Operating ($)</w:t>
            </w:r>
          </w:p>
        </w:tc>
        <w:tc>
          <w:tcPr>
            <w:tcW w:type="dxa" w:w="1234"/>
          </w:tcPr>
          <w:p>
            <w:r>
              <w:rPr>
                <w:rFonts w:ascii="Calibri" w:hAnsi="Calibri"/>
                <w:sz w:val="22"/>
              </w:rPr>
              <w:t>N/A (in-year)</w:t>
            </w:r>
          </w:p>
        </w:tc>
        <w:tc>
          <w:tcPr>
            <w:tcW w:type="dxa" w:w="1234"/>
          </w:tcPr>
          <w:p>
            <w:r>
              <w:rPr>
                <w:rFonts w:ascii="Calibri" w:hAnsi="Calibri"/>
                <w:sz w:val="22"/>
              </w:rPr>
              <w:t>$5.27 (FY 2025 actual)</w:t>
            </w:r>
          </w:p>
        </w:tc>
        <w:tc>
          <w:tcPr>
            <w:tcW w:type="dxa" w:w="1234"/>
          </w:tcPr>
          <w:p>
            <w:r>
              <w:rPr>
                <w:rFonts w:ascii="Calibri" w:hAnsi="Calibri"/>
                <w:sz w:val="22"/>
              </w:rPr>
              <w:t>$5.60</w:t>
            </w:r>
          </w:p>
        </w:tc>
        <w:tc>
          <w:tcPr>
            <w:tcW w:type="dxa" w:w="1234"/>
          </w:tcPr>
          <w:p>
            <w:r>
              <w:rPr>
                <w:rFonts w:ascii="Calibri" w:hAnsi="Calibri"/>
                <w:sz w:val="22"/>
              </w:rPr>
              <w:t>+6.3%</w:t>
            </w:r>
          </w:p>
        </w:tc>
        <w:tc>
          <w:tcPr>
            <w:tcW w:type="dxa" w:w="1234"/>
          </w:tcPr>
          <w:p>
            <w:r>
              <w:rPr>
                <w:rFonts w:ascii="Calibri" w:hAnsi="Calibri"/>
                <w:sz w:val="22"/>
              </w:rPr>
              <w:t>$5.51–$5.61 ($5.56 mid)</w:t>
            </w:r>
          </w:p>
        </w:tc>
        <w:tc>
          <w:tcPr>
            <w:tcW w:type="dxa" w:w="1234"/>
          </w:tcPr>
          <w:p>
            <w:r>
              <w:rPr>
                <w:rFonts w:ascii="Calibri" w:hAnsi="Calibri"/>
                <w:sz w:val="22"/>
              </w:rPr>
              <w:t>+0.7% above mid</w:t>
            </w:r>
          </w:p>
        </w:tc>
      </w:tr>
    </w:tbl>
    <w:p>
      <w:r>
        <w:rPr>
          <w:rFonts w:ascii="Calibri" w:hAnsi="Calibri"/>
          <w:i/>
          <w:color w:val="525866"/>
          <w:sz w:val="22"/>
        </w:rPr>
        <w:t>Source: Visible Alpha Consensus and Actuals Data. Q2 2026 EPS consensus $0.808 (operating diluted); Operating Revenues consensus $2,089M; Operating Income consensus $461M; CapEx consensus $1,382M; DPS $0.9525. Q2 2025 actuals: EPS $0.762 (operating), Revenue $2,010M, Operating Income $405M, CapEx $829M. Q1 2026 actuals from WEC Q1 2026 earnings release (May 5, 2026). FY 2026 EPS consensus $5.60 vs. guidance midpoint $5.56.</w:t>
      </w:r>
    </w:p>
    <w:p>
      <w:pPr>
        <w:pStyle w:val="Heading3"/>
      </w:pPr>
      <w:r>
        <w:rPr>
          <w:rFonts w:ascii="Calibri" w:hAnsi="Calibri"/>
          <w:b/>
          <w:color w:val="3B4259"/>
          <w:sz w:val="24"/>
        </w:rPr>
        <w:t>Table 2 — Beat/Miss History (Last 8 Quarters, Top 2 KPIs)</w:t>
      </w:r>
    </w:p>
    <w:p>
      <w:r>
        <w:rPr>
          <w:rFonts w:ascii="Calibri" w:hAnsi="Calibri"/>
          <w:b/>
          <w:color w:val="525866"/>
          <w:sz w:val="22"/>
        </w:rPr>
        <w:t>KPI 1: 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$2.45</w:t>
            </w:r>
          </w:p>
        </w:tc>
        <w:tc>
          <w:tcPr>
            <w:tcW w:type="dxa" w:w="1728"/>
          </w:tcPr>
          <w:p>
            <w:r>
              <w:rPr>
                <w:rFonts w:ascii="Calibri" w:hAnsi="Calibri"/>
                <w:sz w:val="22"/>
              </w:rPr>
              <w:t>$2.33</w:t>
            </w:r>
          </w:p>
        </w:tc>
        <w:tc>
          <w:tcPr>
            <w:tcW w:type="dxa" w:w="1728"/>
          </w:tcPr>
          <w:p>
            <w:r>
              <w:rPr>
                <w:rFonts w:ascii="Calibri" w:hAnsi="Calibri"/>
                <w:b/>
                <w:color w:val="30A46C"/>
                <w:sz w:val="22"/>
              </w:rPr>
              <w:t>+5.2%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$1.42</w:t>
            </w:r>
          </w:p>
        </w:tc>
        <w:tc>
          <w:tcPr>
            <w:tcW w:type="dxa" w:w="1728"/>
          </w:tcPr>
          <w:p>
            <w:r>
              <w:rPr>
                <w:rFonts w:ascii="Calibri" w:hAnsi="Calibri"/>
                <w:sz w:val="22"/>
              </w:rPr>
              <w:t>$1.39</w:t>
            </w:r>
          </w:p>
        </w:tc>
        <w:tc>
          <w:tcPr>
            <w:tcW w:type="dxa" w:w="1728"/>
          </w:tcPr>
          <w:p>
            <w:r>
              <w:rPr>
                <w:rFonts w:ascii="Calibri" w:hAnsi="Calibri"/>
                <w:b/>
                <w:color w:val="30A46C"/>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$0.83</w:t>
            </w:r>
          </w:p>
        </w:tc>
        <w:tc>
          <w:tcPr>
            <w:tcW w:type="dxa" w:w="1728"/>
          </w:tcPr>
          <w:p>
            <w:r>
              <w:rPr>
                <w:rFonts w:ascii="Calibri" w:hAnsi="Calibri"/>
                <w:sz w:val="22"/>
              </w:rPr>
              <w:t>$0.80</w:t>
            </w:r>
          </w:p>
        </w:tc>
        <w:tc>
          <w:tcPr>
            <w:tcW w:type="dxa" w:w="1728"/>
          </w:tcPr>
          <w:p>
            <w:r>
              <w:rPr>
                <w:rFonts w:ascii="Calibri" w:hAnsi="Calibri"/>
                <w:b/>
                <w:color w:val="30A46C"/>
                <w:sz w:val="22"/>
              </w:rPr>
              <w:t>+3.8%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$0.76</w:t>
            </w:r>
          </w:p>
        </w:tc>
        <w:tc>
          <w:tcPr>
            <w:tcW w:type="dxa" w:w="1728"/>
          </w:tcPr>
          <w:p>
            <w:r>
              <w:rPr>
                <w:rFonts w:ascii="Calibri" w:hAnsi="Calibri"/>
                <w:sz w:val="22"/>
              </w:rPr>
              <w:t>$0.73</w:t>
            </w:r>
          </w:p>
        </w:tc>
        <w:tc>
          <w:tcPr>
            <w:tcW w:type="dxa" w:w="1728"/>
          </w:tcPr>
          <w:p>
            <w:r>
              <w:rPr>
                <w:rFonts w:ascii="Calibri" w:hAnsi="Calibri"/>
                <w:b/>
                <w:color w:val="30A46C"/>
                <w:sz w:val="22"/>
              </w:rPr>
              <w:t>+4.4%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$2.27</w:t>
            </w:r>
          </w:p>
        </w:tc>
        <w:tc>
          <w:tcPr>
            <w:tcW w:type="dxa" w:w="1728"/>
          </w:tcPr>
          <w:p>
            <w:r>
              <w:rPr>
                <w:rFonts w:ascii="Calibri" w:hAnsi="Calibri"/>
                <w:sz w:val="22"/>
              </w:rPr>
              <w:t>~$2.20 (est.)</w:t>
            </w:r>
          </w:p>
        </w:tc>
        <w:tc>
          <w:tcPr>
            <w:tcW w:type="dxa" w:w="1728"/>
          </w:tcPr>
          <w:p>
            <w:r>
              <w:rPr>
                <w:rFonts w:ascii="Calibri" w:hAnsi="Calibri"/>
                <w:sz w:val="22"/>
              </w:rPr>
              <w:t>~+3%</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~$1.30 (est.)</w:t>
            </w:r>
          </w:p>
        </w:tc>
        <w:tc>
          <w:tcPr>
            <w:tcW w:type="dxa" w:w="1728"/>
          </w:tcPr>
          <w:p>
            <w:r>
              <w:rPr>
                <w:rFonts w:ascii="Calibri" w:hAnsi="Calibri"/>
                <w:sz w:val="22"/>
              </w:rPr>
              <w:t>~$1.27 (est.)</w:t>
            </w:r>
          </w:p>
        </w:tc>
        <w:tc>
          <w:tcPr>
            <w:tcW w:type="dxa" w:w="1728"/>
          </w:tcPr>
          <w:p>
            <w:r>
              <w:rPr>
                <w:rFonts w:ascii="Calibri" w:hAnsi="Calibri"/>
                <w:sz w:val="22"/>
              </w:rPr>
              <w:t>~+2%</w:t>
            </w:r>
          </w:p>
        </w:tc>
        <w:tc>
          <w:tcPr>
            <w:tcW w:type="dxa" w:w="1728"/>
          </w:tcPr>
          <w:p>
            <w:r>
              <w:rPr>
                <w:rFonts w:ascii="Calibri" w:hAnsi="Calibri"/>
                <w:sz w:val="22"/>
              </w:rPr>
              <w:t>Beat (est.)</w:t>
            </w:r>
          </w:p>
        </w:tc>
      </w:tr>
      <w:tr>
        <w:tc>
          <w:tcPr>
            <w:tcW w:type="dxa" w:w="1728"/>
          </w:tcPr>
          <w:p>
            <w:r>
              <w:rPr>
                <w:rFonts w:ascii="Calibri" w:hAnsi="Calibri"/>
                <w:sz w:val="22"/>
              </w:rPr>
              <w:t>Q3 2024</w:t>
            </w:r>
          </w:p>
        </w:tc>
        <w:tc>
          <w:tcPr>
            <w:tcW w:type="dxa" w:w="1728"/>
          </w:tcPr>
          <w:p>
            <w:r>
              <w:rPr>
                <w:rFonts w:ascii="Calibri" w:hAnsi="Calibri"/>
                <w:sz w:val="22"/>
              </w:rPr>
              <w:t>~$0.80 (est.)</w:t>
            </w:r>
          </w:p>
        </w:tc>
        <w:tc>
          <w:tcPr>
            <w:tcW w:type="dxa" w:w="1728"/>
          </w:tcPr>
          <w:p>
            <w:r>
              <w:rPr>
                <w:rFonts w:ascii="Calibri" w:hAnsi="Calibri"/>
                <w:sz w:val="22"/>
              </w:rPr>
              <w:t>~$0.78 (est.)</w:t>
            </w:r>
          </w:p>
        </w:tc>
        <w:tc>
          <w:tcPr>
            <w:tcW w:type="dxa" w:w="1728"/>
          </w:tcPr>
          <w:p>
            <w:r>
              <w:rPr>
                <w:rFonts w:ascii="Calibri" w:hAnsi="Calibri"/>
                <w:sz w:val="22"/>
              </w:rPr>
              <w:t>~+3%</w:t>
            </w:r>
          </w:p>
        </w:tc>
        <w:tc>
          <w:tcPr>
            <w:tcW w:type="dxa" w:w="1728"/>
          </w:tcPr>
          <w:p>
            <w:r>
              <w:rPr>
                <w:rFonts w:ascii="Calibri" w:hAnsi="Calibri"/>
                <w:sz w:val="22"/>
              </w:rPr>
              <w:t>Beat (est.)</w:t>
            </w:r>
          </w:p>
        </w:tc>
      </w:tr>
      <w:tr>
        <w:tc>
          <w:tcPr>
            <w:tcW w:type="dxa" w:w="1728"/>
          </w:tcPr>
          <w:p>
            <w:r>
              <w:rPr>
                <w:rFonts w:ascii="Calibri" w:hAnsi="Calibri"/>
                <w:sz w:val="22"/>
              </w:rPr>
              <w:t>Q2 2024</w:t>
            </w:r>
          </w:p>
        </w:tc>
        <w:tc>
          <w:tcPr>
            <w:tcW w:type="dxa" w:w="1728"/>
          </w:tcPr>
          <w:p>
            <w:r>
              <w:rPr>
                <w:rFonts w:ascii="Calibri" w:hAnsi="Calibri"/>
                <w:sz w:val="22"/>
              </w:rPr>
              <w:t>~$0.72 (est.)</w:t>
            </w:r>
          </w:p>
        </w:tc>
        <w:tc>
          <w:tcPr>
            <w:tcW w:type="dxa" w:w="1728"/>
          </w:tcPr>
          <w:p>
            <w:r>
              <w:rPr>
                <w:rFonts w:ascii="Calibri" w:hAnsi="Calibri"/>
                <w:sz w:val="22"/>
              </w:rPr>
              <w:t>~$0.70 (est.)</w:t>
            </w:r>
          </w:p>
        </w:tc>
        <w:tc>
          <w:tcPr>
            <w:tcW w:type="dxa" w:w="1728"/>
          </w:tcPr>
          <w:p>
            <w:r>
              <w:rPr>
                <w:rFonts w:ascii="Calibri" w:hAnsi="Calibri"/>
                <w:sz w:val="22"/>
              </w:rPr>
              <w:t>~+3%</w:t>
            </w:r>
          </w:p>
        </w:tc>
        <w:tc>
          <w:tcPr>
            <w:tcW w:type="dxa" w:w="1728"/>
          </w:tcPr>
          <w:p>
            <w:r>
              <w:rPr>
                <w:rFonts w:ascii="Calibri" w:hAnsi="Calibri"/>
                <w:sz w:val="22"/>
              </w:rPr>
              <w:t>Beat (est.)</w:t>
            </w:r>
          </w:p>
        </w:tc>
      </w:tr>
    </w:tbl>
    <w:p>
      <w:r>
        <w:rPr>
          <w:rFonts w:ascii="Calibri" w:hAnsi="Calibri"/>
          <w:b/>
          <w:color w:val="525866"/>
          <w:sz w:val="22"/>
        </w:rPr>
        <w:t>KPI 2: Operating Revenues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$3,434</w:t>
            </w:r>
          </w:p>
        </w:tc>
        <w:tc>
          <w:tcPr>
            <w:tcW w:type="dxa" w:w="1728"/>
          </w:tcPr>
          <w:p>
            <w:r>
              <w:rPr>
                <w:rFonts w:ascii="Calibri" w:hAnsi="Calibri"/>
                <w:sz w:val="22"/>
              </w:rPr>
              <w:t>$3,188</w:t>
            </w:r>
          </w:p>
        </w:tc>
        <w:tc>
          <w:tcPr>
            <w:tcW w:type="dxa" w:w="1728"/>
          </w:tcPr>
          <w:p>
            <w:r>
              <w:rPr>
                <w:rFonts w:ascii="Calibri" w:hAnsi="Calibri"/>
                <w:b/>
                <w:color w:val="30A46C"/>
                <w:sz w:val="22"/>
              </w:rPr>
              <w:t>+7.7%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$2,537</w:t>
            </w:r>
          </w:p>
        </w:tc>
        <w:tc>
          <w:tcPr>
            <w:tcW w:type="dxa" w:w="1728"/>
          </w:tcPr>
          <w:p>
            <w:r>
              <w:rPr>
                <w:rFonts w:ascii="Calibri" w:hAnsi="Calibri"/>
                <w:sz w:val="22"/>
              </w:rPr>
              <w:t>$2,128</w:t>
            </w:r>
          </w:p>
        </w:tc>
        <w:tc>
          <w:tcPr>
            <w:tcW w:type="dxa" w:w="1728"/>
          </w:tcPr>
          <w:p>
            <w:r>
              <w:rPr>
                <w:rFonts w:ascii="Calibri" w:hAnsi="Calibri"/>
                <w:b/>
                <w:color w:val="30A46C"/>
                <w:sz w:val="22"/>
              </w:rPr>
              <w:t>+19.2%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$2,104</w:t>
            </w:r>
          </w:p>
        </w:tc>
        <w:tc>
          <w:tcPr>
            <w:tcW w:type="dxa" w:w="1728"/>
          </w:tcPr>
          <w:p>
            <w:r>
              <w:rPr>
                <w:rFonts w:ascii="Calibri" w:hAnsi="Calibri"/>
                <w:sz w:val="22"/>
              </w:rPr>
              <w:t>$1,950</w:t>
            </w:r>
          </w:p>
        </w:tc>
        <w:tc>
          <w:tcPr>
            <w:tcW w:type="dxa" w:w="1728"/>
          </w:tcPr>
          <w:p>
            <w:r>
              <w:rPr>
                <w:rFonts w:ascii="Calibri" w:hAnsi="Calibri"/>
                <w:b/>
                <w:color w:val="30A46C"/>
                <w:sz w:val="22"/>
              </w:rPr>
              <w:t>+7.9%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$2,010</w:t>
            </w:r>
          </w:p>
        </w:tc>
        <w:tc>
          <w:tcPr>
            <w:tcW w:type="dxa" w:w="1728"/>
          </w:tcPr>
          <w:p>
            <w:r>
              <w:rPr>
                <w:rFonts w:ascii="Calibri" w:hAnsi="Calibri"/>
                <w:sz w:val="22"/>
              </w:rPr>
              <w:t>$1,869</w:t>
            </w:r>
          </w:p>
        </w:tc>
        <w:tc>
          <w:tcPr>
            <w:tcW w:type="dxa" w:w="1728"/>
          </w:tcPr>
          <w:p>
            <w:r>
              <w:rPr>
                <w:rFonts w:ascii="Calibri" w:hAnsi="Calibri"/>
                <w:b/>
                <w:color w:val="30A46C"/>
                <w:sz w:val="22"/>
              </w:rPr>
              <w:t>+7.5%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WEC has beaten EPS consensus in each of the last four reported quarters (Q2 2025 through Q1 2026), with surprise magnitudes ranging from +2% to +5%, and has beaten revenue consensus by wide margins (7–19%) in every quarter where VA data is available — a consistent pattern of conservative guidance and disciplined execution.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FY 2026 guidance of $5.51–$5.61 was reaffirmed on the Q1 call and again at the May 11 Investor Update — no revision since last earnings. Tone has shifted from measured to assertive, with management explicitly signaling a new hyperscaler announcement by Q3 and describing the capital plan as “low risk and highly executable.”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EPS (Operating)</w:t>
            </w:r>
          </w:p>
        </w:tc>
        <w:tc>
          <w:tcPr>
            <w:tcW w:type="dxa" w:w="1728"/>
          </w:tcPr>
          <w:p>
            <w:r>
              <w:rPr>
                <w:rFonts w:ascii="Calibri" w:hAnsi="Calibri"/>
                <w:sz w:val="22"/>
              </w:rPr>
              <w:t>$5.51–$5.61</w:t>
            </w:r>
          </w:p>
        </w:tc>
        <w:tc>
          <w:tcPr>
            <w:tcW w:type="dxa" w:w="1728"/>
          </w:tcPr>
          <w:p>
            <w:r>
              <w:rPr>
                <w:rFonts w:ascii="Calibri" w:hAnsi="Calibri"/>
                <w:sz w:val="22"/>
              </w:rPr>
              <w:t>—</w:t>
            </w:r>
          </w:p>
        </w:tc>
        <w:tc>
          <w:tcPr>
            <w:tcW w:type="dxa" w:w="1728"/>
          </w:tcPr>
          <w:p>
            <w:r>
              <w:rPr>
                <w:rFonts w:ascii="Calibri" w:hAnsi="Calibri"/>
                <w:sz w:val="22"/>
              </w:rPr>
              <w:t>$5.60</w:t>
            </w:r>
          </w:p>
        </w:tc>
        <w:tc>
          <w:tcPr>
            <w:tcW w:type="dxa" w:w="1728"/>
          </w:tcPr>
          <w:p>
            <w:r>
              <w:rPr>
                <w:rFonts w:ascii="Calibri" w:hAnsi="Calibri"/>
                <w:sz w:val="22"/>
              </w:rPr>
              <w:t>Reaffirmed at May 11 Investor Update 8-K; unchanged since Q4 2025 earnings (Feb 5, 2026). Consensus sits near top of range.</w:t>
            </w:r>
          </w:p>
        </w:tc>
      </w:tr>
      <w:tr>
        <w:tc>
          <w:tcPr>
            <w:tcW w:type="dxa" w:w="1728"/>
          </w:tcPr>
          <w:p>
            <w:r>
              <w:rPr>
                <w:rFonts w:ascii="Calibri" w:hAnsi="Calibri"/>
                <w:sz w:val="22"/>
              </w:rPr>
              <w:t>Q2 2026 EPS (Operating)</w:t>
            </w:r>
          </w:p>
        </w:tc>
        <w:tc>
          <w:tcPr>
            <w:tcW w:type="dxa" w:w="1728"/>
          </w:tcPr>
          <w:p>
            <w:r>
              <w:rPr>
                <w:rFonts w:ascii="Calibri" w:hAnsi="Calibri"/>
                <w:sz w:val="22"/>
              </w:rPr>
              <w:t>$0.76–$0.82 (accounts for April weather actuals)</w:t>
            </w:r>
          </w:p>
        </w:tc>
        <w:tc>
          <w:tcPr>
            <w:tcW w:type="dxa" w:w="1728"/>
          </w:tcPr>
          <w:p>
            <w:r>
              <w:rPr>
                <w:rFonts w:ascii="Calibri" w:hAnsi="Calibri"/>
                <w:sz w:val="22"/>
              </w:rPr>
              <w:t>—</w:t>
            </w:r>
          </w:p>
        </w:tc>
        <w:tc>
          <w:tcPr>
            <w:tcW w:type="dxa" w:w="1728"/>
          </w:tcPr>
          <w:p>
            <w:r>
              <w:rPr>
                <w:rFonts w:ascii="Calibri" w:hAnsi="Calibri"/>
                <w:sz w:val="22"/>
              </w:rPr>
              <w:t>$0.81</w:t>
            </w:r>
          </w:p>
        </w:tc>
        <w:tc>
          <w:tcPr>
            <w:tcW w:type="dxa" w:w="1728"/>
          </w:tcPr>
          <w:p>
            <w:r>
              <w:rPr>
                <w:rFonts w:ascii="Calibri" w:hAnsi="Calibri"/>
                <w:sz w:val="22"/>
              </w:rPr>
              <w:t>Provided on Q1 call (May 5). No subsequent revision. Consensus near top of range.</w:t>
            </w:r>
          </w:p>
        </w:tc>
      </w:tr>
      <w:tr>
        <w:tc>
          <w:tcPr>
            <w:tcW w:type="dxa" w:w="1728"/>
          </w:tcPr>
          <w:p>
            <w:r>
              <w:rPr>
                <w:rFonts w:ascii="Calibri" w:hAnsi="Calibri"/>
                <w:sz w:val="22"/>
              </w:rPr>
              <w:t>Long-Term EPS CAGR (2026–2030)</w:t>
            </w:r>
          </w:p>
        </w:tc>
        <w:tc>
          <w:tcPr>
            <w:tcW w:type="dxa" w:w="1728"/>
          </w:tcPr>
          <w:p>
            <w:r>
              <w:rPr>
                <w:rFonts w:ascii="Calibri" w:hAnsi="Calibri"/>
                <w:sz w:val="22"/>
              </w:rPr>
              <w:t>7%–8% (accelerating to upper half from 2028)</w:t>
            </w:r>
          </w:p>
        </w:tc>
        <w:tc>
          <w:tcPr>
            <w:tcW w:type="dxa" w:w="1728"/>
          </w:tcPr>
          <w:p>
            <w:r>
              <w:rPr>
                <w:rFonts w:ascii="Calibri" w:hAnsi="Calibri"/>
                <w:sz w:val="22"/>
              </w:rPr>
              <w:t>—</w:t>
            </w:r>
          </w:p>
        </w:tc>
        <w:tc>
          <w:tcPr>
            <w:tcW w:type="dxa" w:w="1728"/>
          </w:tcPr>
          <w:p>
            <w:r>
              <w:rPr>
                <w:rFonts w:ascii="Calibri" w:hAnsi="Calibri"/>
                <w:sz w:val="22"/>
              </w:rPr>
              <w:t>FY 2027 consensus: $6.01 (~7.3% growth)</w:t>
            </w:r>
          </w:p>
        </w:tc>
        <w:tc>
          <w:tcPr>
            <w:tcW w:type="dxa" w:w="1728"/>
          </w:tcPr>
          <w:p>
            <w:r>
              <w:rPr>
                <w:rFonts w:ascii="Calibri" w:hAnsi="Calibri"/>
                <w:sz w:val="22"/>
              </w:rPr>
              <w:t>Reaffirmed at May 11 Investor Update. Consensus tracking within guidance range.</w:t>
            </w:r>
          </w:p>
        </w:tc>
      </w:tr>
      <w:tr>
        <w:tc>
          <w:tcPr>
            <w:tcW w:type="dxa" w:w="1728"/>
          </w:tcPr>
          <w:p>
            <w:r>
              <w:rPr>
                <w:rFonts w:ascii="Calibri" w:hAnsi="Calibri"/>
                <w:sz w:val="22"/>
              </w:rPr>
              <w:t>5-Year Capital Plan</w:t>
            </w:r>
          </w:p>
        </w:tc>
        <w:tc>
          <w:tcPr>
            <w:tcW w:type="dxa" w:w="1728"/>
          </w:tcPr>
          <w:p>
            <w:r>
              <w:rPr>
                <w:rFonts w:ascii="Calibri" w:hAnsi="Calibri"/>
                <w:sz w:val="22"/>
              </w:rPr>
              <w:t>$37.5B (2026–2030)</w:t>
            </w:r>
          </w:p>
        </w:tc>
        <w:tc>
          <w:tcPr>
            <w:tcW w:type="dxa" w:w="1728"/>
          </w:tcPr>
          <w:p>
            <w:r>
              <w:rPr>
                <w:rFonts w:ascii="Calibri" w:hAnsi="Calibri"/>
                <w:sz w:val="22"/>
              </w:rPr>
              <w:t>—</w:t>
            </w:r>
          </w:p>
        </w:tc>
        <w:tc>
          <w:tcPr>
            <w:tcW w:type="dxa" w:w="1728"/>
          </w:tcPr>
          <w:p>
            <w:r>
              <w:rPr>
                <w:rFonts w:ascii="Calibri" w:hAnsi="Calibri"/>
                <w:sz w:val="22"/>
              </w:rPr>
              <w:t>N/A (not a consensus item)</w:t>
            </w:r>
          </w:p>
        </w:tc>
        <w:tc>
          <w:tcPr>
            <w:tcW w:type="dxa" w:w="1728"/>
          </w:tcPr>
          <w:p>
            <w:r>
              <w:rPr>
                <w:rFonts w:ascii="Calibri" w:hAnsi="Calibri"/>
                <w:sz w:val="22"/>
              </w:rPr>
              <w:t>Unchanged. $20.3B electric generation, $7.1B gas distribution, $4.7B electric distribution, $4.1B ATC transmission, $1.3B LNG.</w:t>
            </w:r>
          </w:p>
        </w:tc>
      </w:tr>
      <w:tr>
        <w:tc>
          <w:tcPr>
            <w:tcW w:type="dxa" w:w="1728"/>
          </w:tcPr>
          <w:p>
            <w:r>
              <w:rPr>
                <w:rFonts w:ascii="Calibri" w:hAnsi="Calibri"/>
                <w:sz w:val="22"/>
              </w:rPr>
              <w:t>Common Equity Issuance (FY 2026)</w:t>
            </w:r>
          </w:p>
        </w:tc>
        <w:tc>
          <w:tcPr>
            <w:tcW w:type="dxa" w:w="1728"/>
          </w:tcPr>
          <w:p>
            <w:r>
              <w:rPr>
                <w:rFonts w:ascii="Calibri" w:hAnsi="Calibri"/>
                <w:sz w:val="22"/>
              </w:rPr>
              <w:t>$900M–$1.1B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~$455M locked in via ATM forward contracts through Q1 (nearly half of target). On track.</w:t>
            </w:r>
          </w:p>
        </w:tc>
      </w:tr>
      <w:tr>
        <w:tc>
          <w:tcPr>
            <w:tcW w:type="dxa" w:w="1728"/>
          </w:tcPr>
          <w:p>
            <w:r>
              <w:rPr>
                <w:rFonts w:ascii="Calibri" w:hAnsi="Calibri"/>
                <w:sz w:val="22"/>
              </w:rPr>
              <w:t>Dividend (Annualized)</w:t>
            </w:r>
          </w:p>
        </w:tc>
        <w:tc>
          <w:tcPr>
            <w:tcW w:type="dxa" w:w="1728"/>
          </w:tcPr>
          <w:p>
            <w:r>
              <w:rPr>
                <w:rFonts w:ascii="Calibri" w:hAnsi="Calibri"/>
                <w:sz w:val="22"/>
              </w:rPr>
              <w:t>$3.81/share (+6.7% YoY)</w:t>
            </w:r>
          </w:p>
        </w:tc>
        <w:tc>
          <w:tcPr>
            <w:tcW w:type="dxa" w:w="1728"/>
          </w:tcPr>
          <w:p>
            <w:r>
              <w:rPr>
                <w:rFonts w:ascii="Calibri" w:hAnsi="Calibri"/>
                <w:sz w:val="22"/>
              </w:rPr>
              <w:t>—</w:t>
            </w:r>
          </w:p>
        </w:tc>
        <w:tc>
          <w:tcPr>
            <w:tcW w:type="dxa" w:w="1728"/>
          </w:tcPr>
          <w:p>
            <w:r>
              <w:rPr>
                <w:rFonts w:ascii="Calibri" w:hAnsi="Calibri"/>
                <w:sz w:val="22"/>
              </w:rPr>
              <w:t>$3.81</w:t>
            </w:r>
          </w:p>
        </w:tc>
        <w:tc>
          <w:tcPr>
            <w:tcW w:type="dxa" w:w="1728"/>
          </w:tcPr>
          <w:p>
            <w:r>
              <w:rPr>
                <w:rFonts w:ascii="Calibri" w:hAnsi="Calibri"/>
                <w:sz w:val="22"/>
              </w:rPr>
              <w:t>23rd consecutive year of dividend growth. Payout ratio target 65–70%.</w:t>
            </w:r>
          </w:p>
        </w:tc>
      </w:tr>
      <w:tr>
        <w:tc>
          <w:tcPr>
            <w:tcW w:type="dxa" w:w="1728"/>
          </w:tcPr>
          <w:p>
            <w:r>
              <w:rPr>
                <w:rFonts w:ascii="Calibri" w:hAnsi="Calibri"/>
                <w:sz w:val="22"/>
              </w:rPr>
              <w:t>VLC Tariff</w:t>
            </w:r>
          </w:p>
        </w:tc>
        <w:tc>
          <w:tcPr>
            <w:tcW w:type="dxa" w:w="1728"/>
          </w:tcPr>
          <w:p>
            <w:r>
              <w:rPr>
                <w:rFonts w:ascii="Calibri" w:hAnsi="Calibri"/>
                <w:sz w:val="22"/>
              </w:rPr>
              <w:t>Verbal PSC approval April 24, 2026; written order pending</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Key positive catalyst. Applies to customers ≥100 MW new load; ROE 10.48–10.98%, equity ratio 57%. Protects existing ratepayers.</w:t>
            </w:r>
          </w:p>
        </w:tc>
      </w:tr>
    </w:tbl>
    <w:p>
      <w:r>
        <w:rPr>
          <w:rFonts w:ascii="Calibri" w:hAnsi="Calibri"/>
          <w:i/>
          <w:color w:val="525866"/>
          <w:sz w:val="22"/>
        </w:rPr>
        <w:t>Sources: WEC Q1 2026 Earnings Call Transcript (May 5, 2026); WEC Investor Update 8-K EX-99.1 (May 11, 2026).</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EPS have been essentially flat since the post-Q1 baseline, while FY 2026 consensus has drifted slightly higher toward the top of guidance. The gap between consensus and guidance midpoint is narrow (+0.7% for FY), suggesting the street is giving management credit for consistent execution without pricing in upside from a new hyperscaler announcement.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5/12/26)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EPS — Operating (Q2 2026)</w:t>
            </w:r>
          </w:p>
        </w:tc>
        <w:tc>
          <w:tcPr>
            <w:tcW w:type="dxa" w:w="1080"/>
          </w:tcPr>
          <w:p>
            <w:r>
              <w:rPr>
                <w:rFonts w:ascii="Calibri" w:hAnsi="Calibri"/>
                <w:sz w:val="22"/>
              </w:rPr>
              <w:t>$0.808</w:t>
            </w:r>
          </w:p>
        </w:tc>
        <w:tc>
          <w:tcPr>
            <w:tcW w:type="dxa" w:w="1080"/>
          </w:tcPr>
          <w:p>
            <w:r>
              <w:rPr>
                <w:rFonts w:ascii="Calibri" w:hAnsi="Calibri"/>
                <w:sz w:val="22"/>
              </w:rPr>
              <w:t>$0.809</w:t>
            </w:r>
          </w:p>
        </w:tc>
        <w:tc>
          <w:tcPr>
            <w:tcW w:type="dxa" w:w="1080"/>
          </w:tcPr>
          <w:p>
            <w:r>
              <w:rPr>
                <w:rFonts w:ascii="Calibri" w:hAnsi="Calibri"/>
                <w:sz w:val="22"/>
              </w:rPr>
              <w:t>+0.1%</w:t>
            </w:r>
          </w:p>
        </w:tc>
        <w:tc>
          <w:tcPr>
            <w:tcW w:type="dxa" w:w="1080"/>
          </w:tcPr>
          <w:p>
            <w:r>
              <w:rPr>
                <w:rFonts w:ascii="Calibri" w:hAnsi="Calibri"/>
                <w:sz w:val="22"/>
              </w:rPr>
              <w:t>$0.76–$0.82 ($0.79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+2.5% above mid</w:t>
            </w:r>
          </w:p>
        </w:tc>
      </w:tr>
      <w:tr>
        <w:tc>
          <w:tcPr>
            <w:tcW w:type="dxa" w:w="1080"/>
          </w:tcPr>
          <w:p>
            <w:r>
              <w:rPr>
                <w:rFonts w:ascii="Calibri" w:hAnsi="Calibri"/>
                <w:sz w:val="22"/>
              </w:rPr>
              <w:t>EPS — Operating (FY 2026)</w:t>
            </w:r>
          </w:p>
        </w:tc>
        <w:tc>
          <w:tcPr>
            <w:tcW w:type="dxa" w:w="1080"/>
          </w:tcPr>
          <w:p>
            <w:r>
              <w:rPr>
                <w:rFonts w:ascii="Calibri" w:hAnsi="Calibri"/>
                <w:sz w:val="22"/>
              </w:rPr>
              <w:t>$5.601</w:t>
            </w:r>
          </w:p>
        </w:tc>
        <w:tc>
          <w:tcPr>
            <w:tcW w:type="dxa" w:w="1080"/>
          </w:tcPr>
          <w:p>
            <w:r>
              <w:rPr>
                <w:rFonts w:ascii="Calibri" w:hAnsi="Calibri"/>
                <w:sz w:val="22"/>
              </w:rPr>
              <w:t>$5.600</w:t>
            </w:r>
          </w:p>
        </w:tc>
        <w:tc>
          <w:tcPr>
            <w:tcW w:type="dxa" w:w="1080"/>
          </w:tcPr>
          <w:p>
            <w:r>
              <w:rPr>
                <w:rFonts w:ascii="Calibri" w:hAnsi="Calibri"/>
                <w:sz w:val="22"/>
              </w:rPr>
              <w:t>0.0%</w:t>
            </w:r>
          </w:p>
        </w:tc>
        <w:tc>
          <w:tcPr>
            <w:tcW w:type="dxa" w:w="1080"/>
          </w:tcPr>
          <w:p>
            <w:r>
              <w:rPr>
                <w:rFonts w:ascii="Calibri" w:hAnsi="Calibri"/>
                <w:sz w:val="22"/>
              </w:rPr>
              <w:t>$5.51–$5.61 ($5.56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above mid</w:t>
            </w:r>
          </w:p>
        </w:tc>
      </w:tr>
      <w:tr>
        <w:tc>
          <w:tcPr>
            <w:tcW w:type="dxa" w:w="1080"/>
          </w:tcPr>
          <w:p>
            <w:r>
              <w:rPr>
                <w:rFonts w:ascii="Calibri" w:hAnsi="Calibri"/>
                <w:sz w:val="22"/>
              </w:rPr>
              <w:t>EPS — Operating (FY 2027)</w:t>
            </w:r>
          </w:p>
        </w:tc>
        <w:tc>
          <w:tcPr>
            <w:tcW w:type="dxa" w:w="1080"/>
          </w:tcPr>
          <w:p>
            <w:r>
              <w:rPr>
                <w:rFonts w:ascii="Calibri" w:hAnsi="Calibri"/>
                <w:sz w:val="22"/>
              </w:rPr>
              <w:t>$6.012</w:t>
            </w:r>
          </w:p>
        </w:tc>
        <w:tc>
          <w:tcPr>
            <w:tcW w:type="dxa" w:w="1080"/>
          </w:tcPr>
          <w:p>
            <w:r>
              <w:rPr>
                <w:rFonts w:ascii="Calibri" w:hAnsi="Calibri"/>
                <w:sz w:val="22"/>
              </w:rPr>
              <w:t>$6.006</w:t>
            </w:r>
          </w:p>
        </w:tc>
        <w:tc>
          <w:tcPr>
            <w:tcW w:type="dxa" w:w="1080"/>
          </w:tcPr>
          <w:p>
            <w:r>
              <w:rPr>
                <w:rFonts w:ascii="Calibri" w:hAnsi="Calibri"/>
                <w:sz w:val="22"/>
              </w:rPr>
              <w:t>-0.1%</w:t>
            </w:r>
          </w:p>
        </w:tc>
        <w:tc>
          <w:tcPr>
            <w:tcW w:type="dxa" w:w="1080"/>
          </w:tcPr>
          <w:p>
            <w:r>
              <w:rPr>
                <w:rFonts w:ascii="Calibri" w:hAnsi="Calibri"/>
                <w:sz w:val="22"/>
              </w:rPr>
              <w:t>7–8% CAGR (2026–2030)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~7.3% growth; within range</w:t>
            </w:r>
          </w:p>
        </w:tc>
      </w:tr>
      <w:tr>
        <w:tc>
          <w:tcPr>
            <w:tcW w:type="dxa" w:w="1080"/>
          </w:tcPr>
          <w:p>
            <w:r>
              <w:rPr>
                <w:rFonts w:ascii="Calibri" w:hAnsi="Calibri"/>
                <w:sz w:val="22"/>
              </w:rPr>
              <w:t>Operating Revenues (Q2 2026, $M)</w:t>
            </w:r>
          </w:p>
        </w:tc>
        <w:tc>
          <w:tcPr>
            <w:tcW w:type="dxa" w:w="1080"/>
          </w:tcPr>
          <w:p>
            <w:r>
              <w:rPr>
                <w:rFonts w:ascii="Calibri" w:hAnsi="Calibri"/>
                <w:sz w:val="22"/>
              </w:rPr>
              <w:t>$2,127</w:t>
            </w:r>
          </w:p>
        </w:tc>
        <w:tc>
          <w:tcPr>
            <w:tcW w:type="dxa" w:w="1080"/>
          </w:tcPr>
          <w:p>
            <w:r>
              <w:rPr>
                <w:rFonts w:ascii="Calibri" w:hAnsi="Calibri"/>
                <w:sz w:val="22"/>
              </w:rPr>
              <w:t>$2,089</w:t>
            </w:r>
          </w:p>
        </w:tc>
        <w:tc>
          <w:tcPr>
            <w:tcW w:type="dxa" w:w="1080"/>
          </w:tcPr>
          <w:p>
            <w:r>
              <w:rPr>
                <w:rFonts w:ascii="Calibri" w:hAnsi="Calibri"/>
                <w:sz w:val="22"/>
              </w:rPr>
              <w:t>-1.8%</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Revenues (FY 2026, $M)</w:t>
            </w:r>
          </w:p>
        </w:tc>
        <w:tc>
          <w:tcPr>
            <w:tcW w:type="dxa" w:w="1080"/>
          </w:tcPr>
          <w:p>
            <w:r>
              <w:rPr>
                <w:rFonts w:ascii="Calibri" w:hAnsi="Calibri"/>
                <w:sz w:val="22"/>
              </w:rPr>
              <w:t>$10,507</w:t>
            </w:r>
          </w:p>
        </w:tc>
        <w:tc>
          <w:tcPr>
            <w:tcW w:type="dxa" w:w="1080"/>
          </w:tcPr>
          <w:p>
            <w:r>
              <w:rPr>
                <w:rFonts w:ascii="Calibri" w:hAnsi="Calibri"/>
                <w:sz w:val="22"/>
              </w:rPr>
              <w:t>$10,239</w:t>
            </w:r>
          </w:p>
        </w:tc>
        <w:tc>
          <w:tcPr>
            <w:tcW w:type="dxa" w:w="1080"/>
          </w:tcPr>
          <w:p>
            <w:r>
              <w:rPr>
                <w:rFonts w:ascii="Calibri" w:hAnsi="Calibri"/>
                <w:sz w:val="22"/>
              </w:rPr>
              <w:t>-2.6%</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Capital Expenditures (FY 2026, $M)</w:t>
            </w:r>
          </w:p>
        </w:tc>
        <w:tc>
          <w:tcPr>
            <w:tcW w:type="dxa" w:w="1080"/>
          </w:tcPr>
          <w:p>
            <w:r>
              <w:rPr>
                <w:rFonts w:ascii="Calibri" w:hAnsi="Calibri"/>
                <w:sz w:val="22"/>
              </w:rPr>
              <w:t>$5,360</w:t>
            </w:r>
          </w:p>
        </w:tc>
        <w:tc>
          <w:tcPr>
            <w:tcW w:type="dxa" w:w="1080"/>
          </w:tcPr>
          <w:p>
            <w:r>
              <w:rPr>
                <w:rFonts w:ascii="Calibri" w:hAnsi="Calibri"/>
                <w:sz w:val="22"/>
              </w:rPr>
              <w:t>$5,072</w:t>
            </w:r>
          </w:p>
        </w:tc>
        <w:tc>
          <w:tcPr>
            <w:tcW w:type="dxa" w:w="1080"/>
          </w:tcPr>
          <w:p>
            <w:r>
              <w:rPr>
                <w:rFonts w:ascii="Calibri" w:hAnsi="Calibri"/>
                <w:sz w:val="22"/>
              </w:rPr>
              <w:t>-5.4%</w:t>
            </w:r>
          </w:p>
        </w:tc>
        <w:tc>
          <w:tcPr>
            <w:tcW w:type="dxa" w:w="1080"/>
          </w:tcPr>
          <w:p>
            <w:r>
              <w:rPr>
                <w:rFonts w:ascii="Calibri" w:hAnsi="Calibri"/>
                <w:sz w:val="22"/>
              </w:rPr>
              <w:t>~$5.7B (2026 plan)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below plan; execution risk watch</w:t>
            </w:r>
          </w:p>
        </w:tc>
      </w:tr>
    </w:tbl>
    <w:p>
      <w:r>
        <w:rPr>
          <w:rFonts w:ascii="Calibri" w:hAnsi="Calibri"/>
          <w:color w:val="525866"/>
          <w:sz w:val="22"/>
        </w:rPr>
        <w:t xml:space="preserve">EPS estimates have been remarkably stable since the Q1 print — essentially no revision in either direction for Q2 or FY 2026 — consistent with management’s tight guidance range and the street’s confidence in WEC’s execution track record (22 consecutive years of meeting or exceeding the top end of guidance). Revenue estimates have drifted modestly lower post-Q1, likely reflecting timing of data center load ramp rather than a fundamental concern. CapEx consensus running below the company’s own plan is worth monitoring as a potential upside signal if construction accelerates. </w:t>
      </w:r>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WEC has essentially tracked XLU since the Q1 earnings date (WEC −1.4% vs. XLU −1.8%), both meaningfully lagging the S&amp;P 500 (+2.4%), suggesting the stock’s performance has been driven by sector rotation and rising rate sensitivity rather than company-specific revisions or multiple expansion. The stock trades ~8–9% below the consensus analyst price target of ~$124, implying meaningful upside if the data center growth story re-accelerates.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WEC vs. XLU (Utilities ETF) vs. S&amp;P 500 (SPY) — Indexed to 100 at Q1 2026 Earnings Date (May 5, 2026). Source: Stock Price Data (Yahoo Finance).</w:t>
      </w:r>
    </w:p>
    <w:p>
      <w:r>
        <w:rPr>
          <w:rFonts w:ascii="Calibri" w:hAnsi="Calibri"/>
          <w:color w:val="525866"/>
          <w:sz w:val="22"/>
        </w:rPr>
        <w:t xml:space="preserve">Since the Q1 2026 earnings date (May 5, 2026), WEC closed at $115.22 and has drifted to $113.61 as of July 29, 2026 — a decline of </w:t>
      </w:r>
      <w:r>
        <w:rPr>
          <w:rFonts w:ascii="Calibri" w:hAnsi="Calibri"/>
          <w:b/>
          <w:color w:val="525866"/>
          <w:sz w:val="22"/>
        </w:rPr>
        <w:t>−1.4%</w:t>
      </w:r>
      <w:r>
        <w:rPr>
          <w:rFonts w:ascii="Calibri" w:hAnsi="Calibri"/>
          <w:color w:val="525866"/>
          <w:sz w:val="22"/>
        </w:rPr>
        <w:t xml:space="preserve">. XLU fell −1.8% over the same period while the S&amp;P 500 gained +2.4%, reflecting the broader utility sector’s underperformance versus equities as interest rate expectations remained elevated. WEC’s relative outperformance vs. XLU is modest but notable given the stock’s premium growth profile. The stock reached a local low of ~$108.60 on June 1 before recovering to ~$118.85 on June 26, likely driven by improving rate sentiment and positive data center newsflow. The stock has since pulled back to the $113–$115 range. Key events marked: Q1 Earnings (May 5), Investor Update 8-K (May 11), and Shareholder Meeting (May 12). </w:t>
      </w:r>
      <w:r>
        <w:rPr>
          <w:rFonts w:ascii="Calibri" w:hAnsi="Calibri"/>
          <w:b/>
          <w:color w:val="525866"/>
          <w:sz w:val="22"/>
        </w:rPr>
        <w:t>Analyst sentiment is moderately bullish</w:t>
      </w:r>
      <w:r>
        <w:rPr>
          <w:rFonts w:ascii="Calibri" w:hAnsi="Calibri"/>
          <w:color w:val="525866"/>
          <w:sz w:val="22"/>
        </w:rPr>
        <w:t>: 8 Buy / 11 Hold / 1 Sell among 20 analysts; consensus price target ~$124 (JPMorgan raised to $124 on July 16 at Neutral; Truist raised to $122 on July 16 at Hold; KeyBanc maintained Buy but lowered PT to $117 from $126 on July 23). Source: Stock Price Data (Yahoo Finance); internet sources.</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VLC tariff written order (expected shortly after verbal approval April 24) and management’s explicit signal of a new hyperscaler announcement by Q3 — both of which set up the Q2 call as a potential catalyst if any new customer is disclosed ahead of schedule.</w:t>
      </w:r>
    </w:p>
    <w:p>
      <w:pPr>
        <w:pStyle w:val="ListBullet"/>
        <w:ind w:left="360" w:hanging="360"/>
      </w:pPr>
      <w:r>
        <w:rPr>
          <w:rFonts w:ascii="Calibri" w:hAnsi="Calibri"/>
          <w:b/>
          <w:color w:val="525866"/>
          <w:sz w:val="22"/>
        </w:rPr>
        <w:t>April 24, 2026 — Wisconsin PSC Verbally Approves VLC Tariff:</w:t>
      </w:r>
      <w:r>
        <w:rPr>
          <w:rFonts w:ascii="Calibri" w:hAnsi="Calibri"/>
          <w:color w:val="525866"/>
          <w:sz w:val="22"/>
        </w:rPr>
        <w:t xml:space="preserve"> The Public Service Commission verbally approved the Very Large Customer tariff structure, with key modifications: threshold lowered to 100 MW (from WEC’s proposed 500 MW), minimum term extended to 15 years, ROE range 10.48–10.98%, equity ratio 57%. Written order expected within weeks. </w:t>
      </w:r>
      <w:r>
        <w:rPr>
          <w:rFonts w:ascii="Calibri" w:hAnsi="Calibri"/>
          <w:i/>
          <w:color w:val="525866"/>
          <w:sz w:val="22"/>
        </w:rPr>
        <w:t>Implication:</w:t>
      </w:r>
      <w:r>
        <w:rPr>
          <w:rFonts w:ascii="Calibri" w:hAnsi="Calibri"/>
          <w:color w:val="525866"/>
          <w:sz w:val="22"/>
        </w:rPr>
        <w:t xml:space="preserve"> Removes the single largest regulatory overhang for WEC’s data center growth story; ensures data centers pay full costs including corporate allocations, protecting existing ratepayers and shareholders.</w:t>
      </w:r>
    </w:p>
    <w:p>
      <w:pPr>
        <w:pStyle w:val="ListBullet"/>
        <w:ind w:left="360" w:hanging="360"/>
      </w:pPr>
      <w:r>
        <w:rPr>
          <w:rFonts w:ascii="Calibri" w:hAnsi="Calibri"/>
          <w:b/>
          <w:color w:val="525866"/>
          <w:sz w:val="22"/>
        </w:rPr>
        <w:t>May 5, 2026 — Q1 2026 Earnings Beat + Q2 Guidance Provided:</w:t>
      </w:r>
      <w:r>
        <w:rPr>
          <w:rFonts w:ascii="Calibri" w:hAnsi="Calibri"/>
          <w:color w:val="525866"/>
          <w:sz w:val="22"/>
        </w:rPr>
        <w:t xml:space="preserve"> WEC reported Q1 EPS of $2.45 vs. consensus $2.30 (+$0.15 beat); revenue $3.43B vs. $3.19B consensus. FY 2026 guidance reaffirmed at $5.51–$5.61. Q2 2026 guidance provided at $0.76–$0.82 (accounting for April weather actuals). CEO Lauber signaled a likely new hyperscaler announcement on the Q3 call. </w:t>
      </w:r>
      <w:r>
        <w:rPr>
          <w:rFonts w:ascii="Calibri" w:hAnsi="Calibri"/>
          <w:i/>
          <w:color w:val="525866"/>
          <w:sz w:val="22"/>
        </w:rPr>
        <w:t>Implication:</w:t>
      </w:r>
      <w:r>
        <w:rPr>
          <w:rFonts w:ascii="Calibri" w:hAnsi="Calibri"/>
          <w:color w:val="525866"/>
          <w:sz w:val="22"/>
        </w:rPr>
        <w:t xml:space="preserve"> Sets a clear Q2 bar and creates a Q3 catalyst optionality.</w:t>
      </w:r>
    </w:p>
    <w:p>
      <w:pPr>
        <w:pStyle w:val="ListBullet"/>
        <w:ind w:left="360" w:hanging="360"/>
      </w:pPr>
      <w:r>
        <w:rPr>
          <w:rFonts w:ascii="Calibri" w:hAnsi="Calibri"/>
          <w:b/>
          <w:color w:val="525866"/>
          <w:sz w:val="22"/>
        </w:rPr>
        <w:t>May 5, 2026 — Microsoft Phase 1 Data Center Online Ahead of Schedule:</w:t>
      </w:r>
      <w:r>
        <w:rPr>
          <w:rFonts w:ascii="Calibri" w:hAnsi="Calibri"/>
          <w:color w:val="525866"/>
          <w:sz w:val="22"/>
        </w:rPr>
        <w:t xml:space="preserve"> Microsoft’s first data center in Mount Pleasant came online in April 2026, ahead of schedule. Microsoft has purchased 2,200+ acres in the I-94 corridor and is building 15 additional data center buildings beyond Phase 1 and 2 (total investment $20B+). </w:t>
      </w:r>
      <w:r>
        <w:rPr>
          <w:rFonts w:ascii="Calibri" w:hAnsi="Calibri"/>
          <w:i/>
          <w:color w:val="525866"/>
          <w:sz w:val="22"/>
        </w:rPr>
        <w:t>Implication:</w:t>
      </w:r>
      <w:r>
        <w:rPr>
          <w:rFonts w:ascii="Calibri" w:hAnsi="Calibri"/>
          <w:color w:val="525866"/>
          <w:sz w:val="22"/>
        </w:rPr>
        <w:t xml:space="preserve"> Validates the 2.6 GW I-94 corridor demand forecast and de-risks near-term load ramp assumptions.</w:t>
      </w:r>
    </w:p>
    <w:p>
      <w:pPr>
        <w:pStyle w:val="ListBullet"/>
        <w:ind w:left="360" w:hanging="360"/>
      </w:pPr>
      <w:r>
        <w:rPr>
          <w:rFonts w:ascii="Calibri" w:hAnsi="Calibri"/>
          <w:b/>
          <w:color w:val="525866"/>
          <w:sz w:val="22"/>
        </w:rPr>
        <w:t>May 5, 2026 — Vantage/Oracle/OpenAI Construction Underway:</w:t>
      </w:r>
      <w:r>
        <w:rPr>
          <w:rFonts w:ascii="Calibri" w:hAnsi="Calibri"/>
          <w:color w:val="525866"/>
          <w:sz w:val="22"/>
        </w:rPr>
        <w:t xml:space="preserve"> Four data center buildings under construction on 670 acres in Port Washington (Stargate expansion); $15B+ investment; first facility expected late 2027. Site potential up to 3.5 GW over time. </w:t>
      </w:r>
      <w:r>
        <w:rPr>
          <w:rFonts w:ascii="Calibri" w:hAnsi="Calibri"/>
          <w:i/>
          <w:color w:val="525866"/>
          <w:sz w:val="22"/>
        </w:rPr>
        <w:t>Implication:</w:t>
      </w:r>
      <w:r>
        <w:rPr>
          <w:rFonts w:ascii="Calibri" w:hAnsi="Calibri"/>
          <w:color w:val="525866"/>
          <w:sz w:val="22"/>
        </w:rPr>
        <w:t xml:space="preserve"> Supports the 1.3 GW north-of-Milwaukee demand forecast; Port Washington TIF referendum confirmed to have no impact on Vantage site growth.</w:t>
      </w:r>
    </w:p>
    <w:p>
      <w:pPr>
        <w:pStyle w:val="ListBullet"/>
        <w:ind w:left="360" w:hanging="360"/>
      </w:pPr>
      <w:r>
        <w:rPr>
          <w:rFonts w:ascii="Calibri" w:hAnsi="Calibri"/>
          <w:b/>
          <w:color w:val="525866"/>
          <w:sz w:val="22"/>
        </w:rPr>
        <w:t>May 5, 2026 — Oak Creek Units 7 &amp; 8 Life Extension:</w:t>
      </w:r>
      <w:r>
        <w:rPr>
          <w:rFonts w:ascii="Calibri" w:hAnsi="Calibri"/>
          <w:color w:val="525866"/>
          <w:sz w:val="22"/>
        </w:rPr>
        <w:t xml:space="preserve"> WEC announced plans to extend the operating lives of Oak Creek Units 7 &amp; 8 through 2027 (vs. prior plan to retire end of 2026) to meet high energy demand periods. </w:t>
      </w:r>
      <w:r>
        <w:rPr>
          <w:rFonts w:ascii="Calibri" w:hAnsi="Calibri"/>
          <w:i/>
          <w:color w:val="525866"/>
          <w:sz w:val="22"/>
        </w:rPr>
        <w:t>Implication:</w:t>
      </w:r>
      <w:r>
        <w:rPr>
          <w:rFonts w:ascii="Calibri" w:hAnsi="Calibri"/>
          <w:color w:val="525866"/>
          <w:sz w:val="22"/>
        </w:rPr>
        <w:t xml:space="preserve"> Demonstrates grid reliability management as new gas and renewable capacity ramps; modest incremental cost but operationally prudent.</w:t>
      </w:r>
    </w:p>
    <w:p>
      <w:pPr>
        <w:pStyle w:val="ListBullet"/>
        <w:ind w:left="360" w:hanging="360"/>
      </w:pPr>
      <w:r>
        <w:rPr>
          <w:rFonts w:ascii="Calibri" w:hAnsi="Calibri"/>
          <w:b/>
          <w:color w:val="525866"/>
          <w:sz w:val="22"/>
        </w:rPr>
        <w:t>May 5, 2026 — Point Beach PPA Replacement Signaled:</w:t>
      </w:r>
      <w:r>
        <w:rPr>
          <w:rFonts w:ascii="Calibri" w:hAnsi="Calibri"/>
          <w:color w:val="525866"/>
          <w:sz w:val="22"/>
        </w:rPr>
        <w:t xml:space="preserve"> Management confirmed plans to replace Point Beach PPA (first unit ends 2030, second 2033) with gas generation, likely a combined cycle plant (~1 GW, ~$2–$2.5B cost). To be included in the 5-year plan update in fall 2026. </w:t>
      </w:r>
      <w:r>
        <w:rPr>
          <w:rFonts w:ascii="Calibri" w:hAnsi="Calibri"/>
          <w:i/>
          <w:color w:val="525866"/>
          <w:sz w:val="22"/>
        </w:rPr>
        <w:t>Implication:</w:t>
      </w:r>
      <w:r>
        <w:rPr>
          <w:rFonts w:ascii="Calibri" w:hAnsi="Calibri"/>
          <w:color w:val="525866"/>
          <w:sz w:val="22"/>
        </w:rPr>
        <w:t xml:space="preserve"> Potential $2–$2.5B incremental capital addition to the plan; positive for rate base growth but watch for regulatory approval timeline.</w:t>
      </w:r>
    </w:p>
    <w:p>
      <w:pPr>
        <w:pStyle w:val="ListBullet"/>
        <w:ind w:left="360" w:hanging="360"/>
      </w:pPr>
      <w:r>
        <w:rPr>
          <w:rFonts w:ascii="Calibri" w:hAnsi="Calibri"/>
          <w:b/>
          <w:color w:val="525866"/>
          <w:sz w:val="22"/>
        </w:rPr>
        <w:t>May 7, 2026 — Chairman Klappa Stock Vesting Acceleration (8-K):</w:t>
      </w:r>
      <w:r>
        <w:rPr>
          <w:rFonts w:ascii="Calibri" w:hAnsi="Calibri"/>
          <w:color w:val="525866"/>
          <w:sz w:val="22"/>
        </w:rPr>
        <w:t xml:space="preserve"> WEC filed an 8-K disclosing accelerated vesting of stock awards for retiring Chairman Gale Klappa. </w:t>
      </w:r>
      <w:r>
        <w:rPr>
          <w:rFonts w:ascii="Calibri" w:hAnsi="Calibri"/>
          <w:i/>
          <w:color w:val="525866"/>
          <w:sz w:val="22"/>
        </w:rPr>
        <w:t>Implication:</w:t>
      </w:r>
      <w:r>
        <w:rPr>
          <w:rFonts w:ascii="Calibri" w:hAnsi="Calibri"/>
          <w:color w:val="525866"/>
          <w:sz w:val="22"/>
        </w:rPr>
        <w:t xml:space="preserve"> Routine retirement-related action; no strategic signal.</w:t>
      </w:r>
    </w:p>
    <w:p>
      <w:pPr>
        <w:pStyle w:val="ListBullet"/>
        <w:ind w:left="360" w:hanging="360"/>
      </w:pPr>
      <w:r>
        <w:rPr>
          <w:rFonts w:ascii="Calibri" w:hAnsi="Calibri"/>
          <w:b/>
          <w:color w:val="525866"/>
          <w:sz w:val="22"/>
        </w:rPr>
        <w:t>May 11, 2026 — Investor Update 8-K:</w:t>
      </w:r>
      <w:r>
        <w:rPr>
          <w:rFonts w:ascii="Calibri" w:hAnsi="Calibri"/>
          <w:color w:val="525866"/>
          <w:sz w:val="22"/>
        </w:rPr>
        <w:t xml:space="preserve"> WEC disclosed investor meeting presentation materials reaffirming the $37.5B capital plan, 7–8% EPS CAGR, VLC tariff details, and data center demand forecasts. No guidance changes. </w:t>
      </w:r>
      <w:r>
        <w:rPr>
          <w:rFonts w:ascii="Calibri" w:hAnsi="Calibri"/>
          <w:i/>
          <w:color w:val="525866"/>
          <w:sz w:val="22"/>
        </w:rPr>
        <w:t>Implication:</w:t>
      </w:r>
      <w:r>
        <w:rPr>
          <w:rFonts w:ascii="Calibri" w:hAnsi="Calibri"/>
          <w:color w:val="525866"/>
          <w:sz w:val="22"/>
        </w:rPr>
        <w:t xml:space="preserve"> Reinforces management confidence; no incremental negative.</w:t>
      </w:r>
    </w:p>
    <w:p>
      <w:pPr>
        <w:pStyle w:val="ListBullet"/>
        <w:ind w:left="360" w:hanging="360"/>
      </w:pPr>
      <w:r>
        <w:rPr>
          <w:rFonts w:ascii="Calibri" w:hAnsi="Calibri"/>
          <w:b/>
          <w:color w:val="525866"/>
          <w:sz w:val="22"/>
        </w:rPr>
        <w:t>May 12, 2026 — Shareholders Reject Supermajority Voting Elimination (8-K):</w:t>
      </w:r>
      <w:r>
        <w:rPr>
          <w:rFonts w:ascii="Calibri" w:hAnsi="Calibri"/>
          <w:color w:val="525866"/>
          <w:sz w:val="22"/>
        </w:rPr>
        <w:t xml:space="preserve"> Shareholders voted against proposals to eliminate supermajority voting requirements. </w:t>
      </w:r>
      <w:r>
        <w:rPr>
          <w:rFonts w:ascii="Calibri" w:hAnsi="Calibri"/>
          <w:i/>
          <w:color w:val="525866"/>
          <w:sz w:val="22"/>
        </w:rPr>
        <w:t>Implication:</w:t>
      </w:r>
      <w:r>
        <w:rPr>
          <w:rFonts w:ascii="Calibri" w:hAnsi="Calibri"/>
          <w:color w:val="525866"/>
          <w:sz w:val="22"/>
        </w:rPr>
        <w:t xml:space="preserve"> Governance matter; no financial impact.</w:t>
      </w:r>
    </w:p>
    <w:p>
      <w:pPr>
        <w:pStyle w:val="ListBullet"/>
        <w:ind w:left="360" w:hanging="360"/>
      </w:pPr>
      <w:r>
        <w:rPr>
          <w:rFonts w:ascii="Calibri" w:hAnsi="Calibri"/>
          <w:b/>
          <w:color w:val="525866"/>
          <w:sz w:val="22"/>
        </w:rPr>
        <w:t>July 16, 2026 — Analyst Price Target Increases:</w:t>
      </w:r>
      <w:r>
        <w:rPr>
          <w:rFonts w:ascii="Calibri" w:hAnsi="Calibri"/>
          <w:color w:val="525866"/>
          <w:sz w:val="22"/>
        </w:rPr>
        <w:t xml:space="preserve"> JPMorgan raised PT to $124 (from $120) at Neutral; Truist raised PT to $122 (from $119) at Hold. Both citing data center growth visibility and capital plan execution. </w:t>
      </w:r>
      <w:r>
        <w:rPr>
          <w:rFonts w:ascii="Calibri" w:hAnsi="Calibri"/>
          <w:i/>
          <w:color w:val="525866"/>
          <w:sz w:val="22"/>
        </w:rPr>
        <w:t>Implication:</w:t>
      </w:r>
      <w:r>
        <w:rPr>
          <w:rFonts w:ascii="Calibri" w:hAnsi="Calibri"/>
          <w:color w:val="525866"/>
          <w:sz w:val="22"/>
        </w:rPr>
        <w:t xml:space="preserve"> Constructive sentiment but no rating upgrades; street remains cautious on valuation.</w:t>
      </w:r>
    </w:p>
    <w:p>
      <w:pPr>
        <w:pStyle w:val="ListBullet"/>
        <w:ind w:left="360" w:hanging="360"/>
      </w:pPr>
      <w:r>
        <w:rPr>
          <w:rFonts w:ascii="Calibri" w:hAnsi="Calibri"/>
          <w:b/>
          <w:color w:val="525866"/>
          <w:sz w:val="22"/>
        </w:rPr>
        <w:t>July 22, 2026 — Q2 2026 Earnings Date Announced:</w:t>
      </w:r>
      <w:r>
        <w:rPr>
          <w:rFonts w:ascii="Calibri" w:hAnsi="Calibri"/>
          <w:color w:val="525866"/>
          <w:sz w:val="22"/>
        </w:rPr>
        <w:t xml:space="preserve"> WEC confirmed Q2 2026 results to be released July 29, 2026 before market open, with conference call at 2:00 PM ET. </w:t>
      </w:r>
      <w:r>
        <w:rPr>
          <w:rFonts w:ascii="Calibri" w:hAnsi="Calibri"/>
          <w:i/>
          <w:color w:val="525866"/>
          <w:sz w:val="22"/>
        </w:rPr>
        <w:t>Implication:</w:t>
      </w:r>
      <w:r>
        <w:rPr>
          <w:rFonts w:ascii="Calibri" w:hAnsi="Calibri"/>
          <w:color w:val="525866"/>
          <w:sz w:val="22"/>
        </w:rPr>
        <w:t xml:space="preserve"> No surprise; confirms timeline.</w:t>
      </w:r>
    </w:p>
    <w:p>
      <w:pPr>
        <w:pStyle w:val="ListBullet"/>
        <w:ind w:left="360" w:hanging="360"/>
      </w:pPr>
      <w:r>
        <w:rPr>
          <w:rFonts w:ascii="Calibri" w:hAnsi="Calibri"/>
          <w:b/>
          <w:color w:val="525866"/>
          <w:sz w:val="22"/>
        </w:rPr>
        <w:t>July 23, 2026 — KeyBanc Lowers Price Target:</w:t>
      </w:r>
      <w:r>
        <w:rPr>
          <w:rFonts w:ascii="Calibri" w:hAnsi="Calibri"/>
          <w:color w:val="525866"/>
          <w:sz w:val="22"/>
        </w:rPr>
        <w:t xml:space="preserve"> KeyBanc maintained Buy rating but lowered PT to $117 from $126. </w:t>
      </w:r>
      <w:r>
        <w:rPr>
          <w:rFonts w:ascii="Calibri" w:hAnsi="Calibri"/>
          <w:i/>
          <w:color w:val="525866"/>
          <w:sz w:val="22"/>
        </w:rPr>
        <w:t>Implication:</w:t>
      </w:r>
      <w:r>
        <w:rPr>
          <w:rFonts w:ascii="Calibri" w:hAnsi="Calibri"/>
          <w:color w:val="525866"/>
          <w:sz w:val="22"/>
        </w:rPr>
        <w:t xml:space="preserve"> Modest negative; suggests some concern about near-term valuation or rate environment, though conviction on the growth story remains.</w:t>
      </w:r>
    </w:p>
    <w:p>
      <w:r>
        <w:br w:type="page"/>
      </w:r>
    </w:p>
    <w:p>
      <w:pPr>
        <w:pStyle w:val="Heading2"/>
      </w:pPr>
      <w:r>
        <w:rPr>
          <w:rFonts w:ascii="Calibri" w:hAnsi="Calibri"/>
          <w:b/>
          <w:color w:val="3B4259"/>
          <w:sz w:val="28"/>
        </w:rPr>
        <w:t>7. Peer Commentaries — Q2 2026 Read-Through (Last 60 Days)</w:t>
      </w:r>
    </w:p>
    <w:p>
      <w:r>
        <w:rPr>
          <w:rFonts w:ascii="Calibri" w:hAnsi="Calibri"/>
          <w:b/>
          <w:color w:val="525866"/>
          <w:sz w:val="22"/>
        </w:rPr>
        <w:t xml:space="preserve">Key Takeaway: </w:t>
      </w:r>
      <w:r>
        <w:rPr>
          <w:rFonts w:ascii="Calibri" w:hAnsi="Calibri"/>
          <w:color w:val="525866"/>
          <w:sz w:val="22"/>
        </w:rPr>
        <w:t>Peer commentary from Q1 2026 earnings calls (May 2026) and Entergy’s June 2026 Investor Day is uniformly bullish on data center load growth, with peers across the sector signing new ESAs, raising capital plans, and reaffirming or raising EPS growth targets — all strong read-throughs for WEC’s data center demand narrative heading into Q2. CMS Energy’s Q2 2026 earnings (reported July 28, 2026) provides the most timely read-through, confirming constructive large load tariff progress and reaffirming full-year guidance.</w:t>
      </w:r>
    </w:p>
    <w:p>
      <w:r>
        <w:rPr>
          <w:rFonts w:ascii="Calibri" w:hAnsi="Calibri"/>
          <w:i/>
          <w:color w:val="525866"/>
          <w:sz w:val="22"/>
        </w:rPr>
        <w:t xml:space="preserve">Note on peer selection: </w:t>
      </w:r>
      <w:r>
        <w:rPr>
          <w:rFonts w:ascii="Calibri" w:hAnsi="Calibri"/>
          <w:i/>
          <w:color w:val="525866"/>
          <w:sz w:val="22"/>
        </w:rPr>
        <w:t>Only commentary from Q1 2026 earnings calls (reported May 2026) and post-Q1 events (Entergy Investor Day June 9, CMS Q2 July 28) are included below, as these reflect current-quarter (Q2 2026) dynamics and forward-looking signals. Q4 2025 earnings commentary has been excluded per the user’s instruction.</w:t>
      </w:r>
    </w:p>
    <w:p>
      <w:pPr>
        <w:pStyle w:val="Heading3"/>
      </w:pPr>
      <w:r>
        <w:rPr>
          <w:rFonts w:ascii="Calibri" w:hAnsi="Calibri"/>
          <w:b/>
          <w:color w:val="3B4259"/>
          <w:sz w:val="24"/>
        </w:rPr>
        <w:t>CMS Energy (CMS) — Q2 2026 Earnings Call (July 28, 2026) — Most Timely Read-Through</w:t>
      </w:r>
    </w:p>
    <w:p>
      <w:r>
        <w:rPr>
          <w:rFonts w:ascii="Calibri" w:hAnsi="Calibri"/>
          <w:b/>
          <w:color w:val="525866"/>
          <w:sz w:val="22"/>
        </w:rPr>
        <w:t xml:space="preserve">Relevance to WEC: </w:t>
      </w:r>
      <w:r>
        <w:rPr>
          <w:rFonts w:ascii="Calibri" w:hAnsi="Calibri"/>
          <w:color w:val="525866"/>
          <w:sz w:val="22"/>
        </w:rPr>
        <w:t>CMS is a Michigan-based regulated utility with a similar data center growth narrative and large load tariff framework. Its Q2 2026 results (reported the day before WEC) provide the most current read-through on utility sector conditions.</w:t>
      </w:r>
    </w:p>
    <w:p>
      <w:pPr>
        <w:pStyle w:val="ListBullet"/>
        <w:ind w:left="360" w:hanging="360"/>
      </w:pPr>
      <w:r>
        <w:rPr>
          <w:rFonts w:ascii="Calibri" w:hAnsi="Calibri"/>
          <w:b/>
          <w:color w:val="525866"/>
          <w:sz w:val="22"/>
        </w:rPr>
        <w:t>Large Load Tariff Progress:</w:t>
      </w:r>
      <w:r>
        <w:rPr>
          <w:rFonts w:ascii="Calibri" w:hAnsi="Calibri"/>
          <w:color w:val="525866"/>
          <w:sz w:val="22"/>
        </w:rPr>
        <w:t xml:space="preserve"> CMS reached an agreement under its large load tariff (Extraordinary Facilities Agreement + rate agreement), described as “one of the most constructive in the country for data center growth.” The framework ensures new large load customers bear all costs to serve them. The next step is local zoning approval. </w:t>
      </w:r>
      <w:r>
        <w:rPr>
          <w:rFonts w:ascii="Calibri" w:hAnsi="Calibri"/>
          <w:i/>
          <w:color w:val="525866"/>
          <w:sz w:val="22"/>
        </w:rPr>
        <w:t>WEC Read-Through:</w:t>
      </w:r>
      <w:r>
        <w:rPr>
          <w:rFonts w:ascii="Calibri" w:hAnsi="Calibri"/>
          <w:color w:val="525866"/>
          <w:sz w:val="22"/>
        </w:rPr>
        <w:t xml:space="preserve"> Constructive — confirms that utility large load tariff frameworks are gaining traction nationally, validating WEC’s VLC tariff approval as a competitive differentiator.</w:t>
      </w:r>
    </w:p>
    <w:p>
      <w:pPr>
        <w:pStyle w:val="ListBullet"/>
        <w:ind w:left="360" w:hanging="360"/>
      </w:pPr>
      <w:r>
        <w:rPr>
          <w:rFonts w:ascii="Calibri" w:hAnsi="Calibri"/>
          <w:b/>
          <w:color w:val="525866"/>
          <w:sz w:val="22"/>
        </w:rPr>
        <w:t>Customer Affordability Benefit:</w:t>
      </w:r>
      <w:r>
        <w:rPr>
          <w:rFonts w:ascii="Calibri" w:hAnsi="Calibri"/>
          <w:color w:val="525866"/>
          <w:sz w:val="22"/>
        </w:rPr>
        <w:t xml:space="preserve"> CMS highlighted that every gigawatt of new large load signed under its tariff generates ~$7.50/month of bill benefit for the average residential customer. </w:t>
      </w:r>
      <w:r>
        <w:rPr>
          <w:rFonts w:ascii="Calibri" w:hAnsi="Calibri"/>
          <w:i/>
          <w:color w:val="525866"/>
          <w:sz w:val="22"/>
        </w:rPr>
        <w:t>WEC Read-Through:</w:t>
      </w:r>
      <w:r>
        <w:rPr>
          <w:rFonts w:ascii="Calibri" w:hAnsi="Calibri"/>
          <w:color w:val="525866"/>
          <w:sz w:val="22"/>
        </w:rPr>
        <w:t xml:space="preserve"> Positive — WEC has made similar affordability arguments for its VLC tariff; CMS’s quantification supports the regulatory and public narrative.</w:t>
      </w:r>
    </w:p>
    <w:p>
      <w:pPr>
        <w:pStyle w:val="ListBullet"/>
        <w:ind w:left="360" w:hanging="360"/>
      </w:pPr>
      <w:r>
        <w:rPr>
          <w:rFonts w:ascii="Calibri" w:hAnsi="Calibri"/>
          <w:b/>
          <w:color w:val="525866"/>
          <w:sz w:val="22"/>
        </w:rPr>
        <w:t>FY 2026 Guidance Reaffirmed:</w:t>
      </w:r>
      <w:r>
        <w:rPr>
          <w:rFonts w:ascii="Calibri" w:hAnsi="Calibri"/>
          <w:color w:val="525866"/>
          <w:sz w:val="22"/>
        </w:rPr>
        <w:t xml:space="preserve"> CMS reaffirmed FY 2026 EPS guidance of $3.83–$3.90 with confidence toward the high end, and introduced FY 2027 guidance of $4.17 (6–8% long-term growth). </w:t>
      </w:r>
      <w:r>
        <w:rPr>
          <w:rFonts w:ascii="Calibri" w:hAnsi="Calibri"/>
          <w:i/>
          <w:color w:val="525866"/>
          <w:sz w:val="22"/>
        </w:rPr>
        <w:t>WEC Read-Through:</w:t>
      </w:r>
      <w:r>
        <w:rPr>
          <w:rFonts w:ascii="Calibri" w:hAnsi="Calibri"/>
          <w:color w:val="525866"/>
          <w:sz w:val="22"/>
        </w:rPr>
        <w:t xml:space="preserve"> Neutral-to-positive — sector-wide guidance reaffirmation reduces the risk of a WEC guidance cut.</w:t>
      </w:r>
    </w:p>
    <w:p>
      <w:pPr>
        <w:pStyle w:val="ListBullet"/>
        <w:ind w:left="360" w:hanging="360"/>
      </w:pPr>
      <w:r>
        <w:rPr>
          <w:rFonts w:ascii="Calibri" w:hAnsi="Calibri"/>
          <w:b/>
          <w:color w:val="525866"/>
          <w:sz w:val="22"/>
        </w:rPr>
        <w:t>North Star Exit (Non-Utility Renewables):</w:t>
      </w:r>
      <w:r>
        <w:rPr>
          <w:rFonts w:ascii="Calibri" w:hAnsi="Calibri"/>
          <w:color w:val="525866"/>
          <w:sz w:val="22"/>
        </w:rPr>
        <w:t xml:space="preserve"> CMS announced exit from non-utility renewables development to simplify the business and sharpen focus on utility investment, reducing equity needs by $350M+. </w:t>
      </w:r>
      <w:r>
        <w:rPr>
          <w:rFonts w:ascii="Calibri" w:hAnsi="Calibri"/>
          <w:i/>
          <w:color w:val="525866"/>
          <w:sz w:val="22"/>
        </w:rPr>
        <w:t>WEC Read-Through:</w:t>
      </w:r>
      <w:r>
        <w:rPr>
          <w:rFonts w:ascii="Calibri" w:hAnsi="Calibri"/>
          <w:color w:val="525866"/>
          <w:sz w:val="22"/>
        </w:rPr>
        <w:t xml:space="preserve"> Neutral for WEC (WEC is already 100% regulated capital); confirms sector trend toward regulated-only models.</w:t>
      </w:r>
    </w:p>
    <w:p>
      <w:pPr>
        <w:pStyle w:val="ListBullet"/>
        <w:ind w:left="360" w:hanging="360"/>
      </w:pPr>
      <w:r>
        <w:rPr>
          <w:rFonts w:ascii="Calibri" w:hAnsi="Calibri"/>
          <w:b/>
          <w:color w:val="525866"/>
          <w:sz w:val="22"/>
        </w:rPr>
        <w:t>Sales Growth:</w:t>
      </w:r>
      <w:r>
        <w:rPr>
          <w:rFonts w:ascii="Calibri" w:hAnsi="Calibri"/>
          <w:color w:val="525866"/>
          <w:sz w:val="22"/>
        </w:rPr>
        <w:t xml:space="preserve"> CMS anticipates 2–3% sales growth for FY 2026, with positive year-to-date trends. Weather-adjusted non-weather sales trending positively. </w:t>
      </w:r>
      <w:r>
        <w:rPr>
          <w:rFonts w:ascii="Calibri" w:hAnsi="Calibri"/>
          <w:i/>
          <w:color w:val="525866"/>
          <w:sz w:val="22"/>
        </w:rPr>
        <w:t>WEC Read-Through:</w:t>
      </w:r>
      <w:r>
        <w:rPr>
          <w:rFonts w:ascii="Calibri" w:hAnsi="Calibri"/>
          <w:color w:val="525866"/>
          <w:sz w:val="22"/>
        </w:rPr>
        <w:t xml:space="preserve"> Positive — WEC guided to ~1.5% weather-normal electric sales growth for FY 2026 (more conservative); CMS’s positive trends suggest the broader Midwest utility demand environment is supportive.</w:t>
      </w:r>
    </w:p>
    <w:p>
      <w:pPr>
        <w:pStyle w:val="Heading3"/>
      </w:pPr>
      <w:r>
        <w:rPr>
          <w:rFonts w:ascii="Calibri" w:hAnsi="Calibri"/>
          <w:b/>
          <w:color w:val="3B4259"/>
          <w:sz w:val="24"/>
        </w:rPr>
        <w:t>Duke Energy (DUK) — Q1 2026 Earnings Call (May 5, 2026)</w:t>
      </w:r>
    </w:p>
    <w:p>
      <w:r>
        <w:rPr>
          <w:rFonts w:ascii="Calibri" w:hAnsi="Calibri"/>
          <w:b/>
          <w:color w:val="525866"/>
          <w:sz w:val="22"/>
        </w:rPr>
        <w:t xml:space="preserve">Relevance to WEC: </w:t>
      </w:r>
      <w:r>
        <w:rPr>
          <w:rFonts w:ascii="Calibri" w:hAnsi="Calibri"/>
          <w:color w:val="525866"/>
          <w:sz w:val="22"/>
        </w:rPr>
        <w:t>Duke is the largest regulated utility in the U.S. and a bellwether for data center ESA momentum and large load tariff structures.</w:t>
      </w:r>
    </w:p>
    <w:p>
      <w:pPr>
        <w:pStyle w:val="ListBullet"/>
        <w:ind w:left="360" w:hanging="360"/>
      </w:pPr>
      <w:r>
        <w:rPr>
          <w:rFonts w:ascii="Calibri" w:hAnsi="Calibri"/>
          <w:b/>
          <w:color w:val="525866"/>
          <w:sz w:val="22"/>
        </w:rPr>
        <w:t>ESA Momentum Accelerating:</w:t>
      </w:r>
      <w:r>
        <w:rPr>
          <w:rFonts w:ascii="Calibri" w:hAnsi="Calibri"/>
          <w:color w:val="525866"/>
          <w:sz w:val="22"/>
        </w:rPr>
        <w:t xml:space="preserve"> Duke signed an additional 2.7 GW of ESAs with data center customers in Q1 2026, bringing total executed agreements to ~7.6 GW, with nearly two-thirds already under construction. Late-stage high-confidence pipeline now at 15.4 GW. </w:t>
      </w:r>
      <w:r>
        <w:rPr>
          <w:rFonts w:ascii="Calibri" w:hAnsi="Calibri"/>
          <w:i/>
          <w:color w:val="525866"/>
          <w:sz w:val="22"/>
        </w:rPr>
        <w:t>WEC Read-Through:</w:t>
      </w:r>
      <w:r>
        <w:rPr>
          <w:rFonts w:ascii="Calibri" w:hAnsi="Calibri"/>
          <w:color w:val="525866"/>
          <w:sz w:val="22"/>
        </w:rPr>
        <w:t xml:space="preserve"> Strongly positive — hyperscaler demand for utility-served power is accelerating nationally, validating WEC’s 3.9 GW pipeline and management’s confidence in additional customer announcements.</w:t>
      </w:r>
    </w:p>
    <w:p>
      <w:pPr>
        <w:pStyle w:val="ListBullet"/>
        <w:ind w:left="360" w:hanging="360"/>
      </w:pPr>
      <w:r>
        <w:rPr>
          <w:rFonts w:ascii="Calibri" w:hAnsi="Calibri"/>
          <w:b/>
          <w:color w:val="525866"/>
          <w:sz w:val="22"/>
        </w:rPr>
        <w:t>Guidance Reaffirmed, Top-Half Confidence:</w:t>
      </w:r>
      <w:r>
        <w:rPr>
          <w:rFonts w:ascii="Calibri" w:hAnsi="Calibri"/>
          <w:color w:val="525866"/>
          <w:sz w:val="22"/>
        </w:rPr>
        <w:t xml:space="preserve"> Duke reaffirmed FY 2026 guidance of $6.55–$6.80 and 5–7% long-term EPS growth, with increased confidence in delivering in the top half of the range starting 2028 as large loads materialize. </w:t>
      </w:r>
      <w:r>
        <w:rPr>
          <w:rFonts w:ascii="Calibri" w:hAnsi="Calibri"/>
          <w:i/>
          <w:color w:val="525866"/>
          <w:sz w:val="22"/>
        </w:rPr>
        <w:t>WEC Read-Through:</w:t>
      </w:r>
      <w:r>
        <w:rPr>
          <w:rFonts w:ascii="Calibri" w:hAnsi="Calibri"/>
          <w:color w:val="525866"/>
          <w:sz w:val="22"/>
        </w:rPr>
        <w:t xml:space="preserve"> Positive — mirrors WEC’s own messaging of acceleration to the upper half of 7–8% CAGR from 2028.</w:t>
      </w:r>
    </w:p>
    <w:p>
      <w:pPr>
        <w:pStyle w:val="ListBullet"/>
        <w:ind w:left="360" w:hanging="360"/>
      </w:pPr>
      <w:r>
        <w:rPr>
          <w:rFonts w:ascii="Calibri" w:hAnsi="Calibri"/>
          <w:b/>
          <w:color w:val="525866"/>
          <w:sz w:val="22"/>
        </w:rPr>
        <w:t>Customer Protections in ESAs:</w:t>
      </w:r>
      <w:r>
        <w:rPr>
          <w:rFonts w:ascii="Calibri" w:hAnsi="Calibri"/>
          <w:color w:val="525866"/>
          <w:sz w:val="22"/>
        </w:rPr>
        <w:t xml:space="preserve"> Duke’s ESAs include minimum demand provisions, credit support, refundable capital advances, and termination charges. Incremental volumes benefit all customers by spreading fixed costs. </w:t>
      </w:r>
      <w:r>
        <w:rPr>
          <w:rFonts w:ascii="Calibri" w:hAnsi="Calibri"/>
          <w:i/>
          <w:color w:val="525866"/>
          <w:sz w:val="22"/>
        </w:rPr>
        <w:t>WEC Read-Through:</w:t>
      </w:r>
      <w:r>
        <w:rPr>
          <w:rFonts w:ascii="Calibri" w:hAnsi="Calibri"/>
          <w:color w:val="525866"/>
          <w:sz w:val="22"/>
        </w:rPr>
        <w:t xml:space="preserve"> Positive — WEC’s VLC tariff includes similar protections; Duke’s experience validates the regulatory and commercial framework.</w:t>
      </w:r>
    </w:p>
    <w:p>
      <w:pPr>
        <w:pStyle w:val="ListBullet"/>
        <w:ind w:left="360" w:hanging="360"/>
      </w:pPr>
      <w:r>
        <w:rPr>
          <w:rFonts w:ascii="Calibri" w:hAnsi="Calibri"/>
          <w:b/>
          <w:color w:val="525866"/>
          <w:sz w:val="22"/>
        </w:rPr>
        <w:t>Data Center Load Timing:</w:t>
      </w:r>
      <w:r>
        <w:rPr>
          <w:rFonts w:ascii="Calibri" w:hAnsi="Calibri"/>
          <w:color w:val="525866"/>
          <w:sz w:val="22"/>
        </w:rPr>
        <w:t xml:space="preserve"> Duke expects the 2.7 GW signed in Q1 to begin taking energy late in the 5-year window and ramp into the early-to-mid 2030s, strengthening long-term growth durability. </w:t>
      </w:r>
      <w:r>
        <w:rPr>
          <w:rFonts w:ascii="Calibri" w:hAnsi="Calibri"/>
          <w:i/>
          <w:color w:val="525866"/>
          <w:sz w:val="22"/>
        </w:rPr>
        <w:t>WEC Read-Through:</w:t>
      </w:r>
      <w:r>
        <w:rPr>
          <w:rFonts w:ascii="Calibri" w:hAnsi="Calibri"/>
          <w:color w:val="525866"/>
          <w:sz w:val="22"/>
        </w:rPr>
        <w:t xml:space="preserve"> Neutral — confirms that large load ramp timelines are multi-year; WEC’s 2028 acceleration thesis is consistent with industry-wide patterns.</w:t>
      </w:r>
    </w:p>
    <w:p>
      <w:pPr>
        <w:pStyle w:val="Heading3"/>
      </w:pPr>
      <w:r>
        <w:rPr>
          <w:rFonts w:ascii="Calibri" w:hAnsi="Calibri"/>
          <w:b/>
          <w:color w:val="3B4259"/>
          <w:sz w:val="24"/>
        </w:rPr>
        <w:t>Evergy (EVRG) — Q1 2026 Earnings Call (May 7, 2026)</w:t>
      </w:r>
    </w:p>
    <w:p>
      <w:r>
        <w:rPr>
          <w:rFonts w:ascii="Calibri" w:hAnsi="Calibri"/>
          <w:b/>
          <w:color w:val="525866"/>
          <w:sz w:val="22"/>
        </w:rPr>
        <w:t xml:space="preserve">Relevance to WEC: </w:t>
      </w:r>
      <w:r>
        <w:rPr>
          <w:rFonts w:ascii="Calibri" w:hAnsi="Calibri"/>
          <w:color w:val="525866"/>
          <w:sz w:val="22"/>
        </w:rPr>
        <w:t>Evergy is a Midwest utility (Kansas/Missouri) with a rapidly growing data center pipeline and a large load power service (LLPS) tariff structure similar to WEC’s VLC tariff.</w:t>
      </w:r>
    </w:p>
    <w:p>
      <w:pPr>
        <w:pStyle w:val="ListBullet"/>
        <w:ind w:left="360" w:hanging="360"/>
      </w:pPr>
      <w:r>
        <w:rPr>
          <w:rFonts w:ascii="Calibri" w:hAnsi="Calibri"/>
          <w:b/>
          <w:color w:val="525866"/>
          <w:sz w:val="22"/>
        </w:rPr>
        <w:t>Fifth ESA Signed, Load Growth Upgraded:</w:t>
      </w:r>
      <w:r>
        <w:rPr>
          <w:rFonts w:ascii="Calibri" w:hAnsi="Calibri"/>
          <w:color w:val="525866"/>
          <w:sz w:val="22"/>
        </w:rPr>
        <w:t xml:space="preserve"> Evergy signed a fifth large customer ESA and amended two prior contracts, bringing total steady-state peak load under LLPS tariffs to ~2.5 GW (3.0 GW including non-LLPS customers). Expects at least one additional ESA in 2026. Revised load growth CAGR to 7–8% through 2030 (from 6%). </w:t>
      </w:r>
      <w:r>
        <w:rPr>
          <w:rFonts w:ascii="Calibri" w:hAnsi="Calibri"/>
          <w:i/>
          <w:color w:val="525866"/>
          <w:sz w:val="22"/>
        </w:rPr>
        <w:t>WEC Read-Through:</w:t>
      </w:r>
      <w:r>
        <w:rPr>
          <w:rFonts w:ascii="Calibri" w:hAnsi="Calibri"/>
          <w:color w:val="525866"/>
          <w:sz w:val="22"/>
        </w:rPr>
        <w:t xml:space="preserve"> Strongly positive — Midwest utilities are signing new data center ESAs at an accelerating pace, supporting WEC’s expectation of a new hyperscaler announcement by Q3.</w:t>
      </w:r>
    </w:p>
    <w:p>
      <w:pPr>
        <w:pStyle w:val="ListBullet"/>
        <w:ind w:left="360" w:hanging="360"/>
      </w:pPr>
      <w:r>
        <w:rPr>
          <w:rFonts w:ascii="Calibri" w:hAnsi="Calibri"/>
          <w:b/>
          <w:color w:val="525866"/>
          <w:sz w:val="22"/>
        </w:rPr>
        <w:t>Weather-Normalized Demand +4.7% in Q1:</w:t>
      </w:r>
      <w:r>
        <w:rPr>
          <w:rFonts w:ascii="Calibri" w:hAnsi="Calibri"/>
          <w:color w:val="525866"/>
          <w:sz w:val="22"/>
        </w:rPr>
        <w:t xml:space="preserve"> Evergy’s weather-normalized retail demand grew 4.7% in Q1 2026, led by large commercial and industrial (data center ramp-up) and industrial (Panasonic). </w:t>
      </w:r>
      <w:r>
        <w:rPr>
          <w:rFonts w:ascii="Calibri" w:hAnsi="Calibri"/>
          <w:i/>
          <w:color w:val="525866"/>
          <w:sz w:val="22"/>
        </w:rPr>
        <w:t>WEC Read-Through:</w:t>
      </w:r>
      <w:r>
        <w:rPr>
          <w:rFonts w:ascii="Calibri" w:hAnsi="Calibri"/>
          <w:color w:val="525866"/>
          <w:sz w:val="22"/>
        </w:rPr>
        <w:t xml:space="preserve"> Positive — WEC guided to 1.3% weather-normal electric sales growth in Q1 (more conservative given earlier-stage data center ramp); Evergy’s stronger growth confirms the regional demand environment is robust.</w:t>
      </w:r>
    </w:p>
    <w:p>
      <w:pPr>
        <w:pStyle w:val="ListBullet"/>
        <w:ind w:left="360" w:hanging="360"/>
      </w:pPr>
      <w:r>
        <w:rPr>
          <w:rFonts w:ascii="Calibri" w:hAnsi="Calibri"/>
          <w:b/>
          <w:color w:val="525866"/>
          <w:sz w:val="22"/>
        </w:rPr>
        <w:t>Capital Plan Upside:</w:t>
      </w:r>
      <w:r>
        <w:rPr>
          <w:rFonts w:ascii="Calibri" w:hAnsi="Calibri"/>
          <w:color w:val="525866"/>
          <w:sz w:val="22"/>
        </w:rPr>
        <w:t xml:space="preserve"> Evergy’s IRP filings will reflect modest upside to its $21.6B capital plan, taking rate base CAGR to ~12% from 11.5%. </w:t>
      </w:r>
      <w:r>
        <w:rPr>
          <w:rFonts w:ascii="Calibri" w:hAnsi="Calibri"/>
          <w:i/>
          <w:color w:val="525866"/>
          <w:sz w:val="22"/>
        </w:rPr>
        <w:t>WEC Read-Through:</w:t>
      </w:r>
      <w:r>
        <w:rPr>
          <w:rFonts w:ascii="Calibri" w:hAnsi="Calibri"/>
          <w:color w:val="525866"/>
          <w:sz w:val="22"/>
        </w:rPr>
        <w:t xml:space="preserve"> Positive — Midwest utilities are raising capital plans as data center demand materializes; WEC’s $37.5B plan may similarly see upside as new customers are announced.</w:t>
      </w:r>
    </w:p>
    <w:p>
      <w:pPr>
        <w:pStyle w:val="ListBullet"/>
        <w:ind w:left="360" w:hanging="360"/>
      </w:pPr>
      <w:r>
        <w:rPr>
          <w:rFonts w:ascii="Calibri" w:hAnsi="Calibri"/>
          <w:b/>
          <w:color w:val="525866"/>
          <w:sz w:val="22"/>
        </w:rPr>
        <w:t>FY 2026 Guidance Reaffirmed:</w:t>
      </w:r>
      <w:r>
        <w:rPr>
          <w:rFonts w:ascii="Calibri" w:hAnsi="Calibri"/>
          <w:color w:val="525866"/>
          <w:sz w:val="22"/>
        </w:rPr>
        <w:t xml:space="preserve"> Evergy reaffirmed FY 2026 adjusted EPS guidance of $4.14–$4.34 ($4.24 midpoint) and 6–8%+ long-term EPS growth through 2030. Q2 2026 EPS guidance of 17–19% of the $4.24 midpoint (implying ~$0.72–$0.80 for Q2). </w:t>
      </w:r>
      <w:r>
        <w:rPr>
          <w:rFonts w:ascii="Calibri" w:hAnsi="Calibri"/>
          <w:i/>
          <w:color w:val="525866"/>
          <w:sz w:val="22"/>
        </w:rPr>
        <w:t>WEC Read-Through:</w:t>
      </w:r>
      <w:r>
        <w:rPr>
          <w:rFonts w:ascii="Calibri" w:hAnsi="Calibri"/>
          <w:color w:val="525866"/>
          <w:sz w:val="22"/>
        </w:rPr>
        <w:t xml:space="preserve"> Neutral — sector-wide guidance reaffirmation is supportive.</w:t>
      </w:r>
    </w:p>
    <w:p>
      <w:pPr>
        <w:pStyle w:val="Heading3"/>
      </w:pPr>
      <w:r>
        <w:rPr>
          <w:rFonts w:ascii="Calibri" w:hAnsi="Calibri"/>
          <w:b/>
          <w:color w:val="3B4259"/>
          <w:sz w:val="24"/>
        </w:rPr>
        <w:t>American Electric Power (AEP) — Q1 2026 Earnings Call (May 5, 2026)</w:t>
      </w:r>
    </w:p>
    <w:p>
      <w:r>
        <w:rPr>
          <w:rFonts w:ascii="Calibri" w:hAnsi="Calibri"/>
          <w:b/>
          <w:color w:val="525866"/>
          <w:sz w:val="22"/>
        </w:rPr>
        <w:t xml:space="preserve">Relevance to WEC: </w:t>
      </w:r>
      <w:r>
        <w:rPr>
          <w:rFonts w:ascii="Calibri" w:hAnsi="Calibri"/>
          <w:color w:val="525866"/>
          <w:sz w:val="22"/>
        </w:rPr>
        <w:t>AEP is the largest transmission-focused utility in the U.S. with the most aggressive data center load growth story (63 GW contracted by 2030). Its commentary provides the broadest read on hyperscaler demand trends.</w:t>
      </w:r>
    </w:p>
    <w:p>
      <w:pPr>
        <w:pStyle w:val="ListBullet"/>
        <w:ind w:left="360" w:hanging="360"/>
      </w:pPr>
      <w:r>
        <w:rPr>
          <w:rFonts w:ascii="Calibri" w:hAnsi="Calibri"/>
          <w:b/>
          <w:color w:val="525866"/>
          <w:sz w:val="22"/>
        </w:rPr>
        <w:t>63 GW Contracted Load, +7 GW in Q1:</w:t>
      </w:r>
      <w:r>
        <w:rPr>
          <w:rFonts w:ascii="Calibri" w:hAnsi="Calibri"/>
          <w:color w:val="525866"/>
          <w:sz w:val="22"/>
        </w:rPr>
        <w:t xml:space="preserve"> AEP contracted an additional 7 GW of load in Q1 2026 (mostly AEP Texas and AEP Ohio), bringing total incremental contracted load to 63 GW by 2030. Nearly 90% is data centers/hyperscalers. </w:t>
      </w:r>
      <w:r>
        <w:rPr>
          <w:rFonts w:ascii="Calibri" w:hAnsi="Calibri"/>
          <w:i/>
          <w:color w:val="525866"/>
          <w:sz w:val="22"/>
        </w:rPr>
        <w:t>WEC Read-Through:</w:t>
      </w:r>
      <w:r>
        <w:rPr>
          <w:rFonts w:ascii="Calibri" w:hAnsi="Calibri"/>
          <w:color w:val="525866"/>
          <w:sz w:val="22"/>
        </w:rPr>
        <w:t xml:space="preserve"> Strongly positive — hyperscaler demand for utility power is accelerating at a national scale; WEC’s 3.9 GW pipeline is conservative relative to peers and has significant upside potential.</w:t>
      </w:r>
    </w:p>
    <w:p>
      <w:pPr>
        <w:pStyle w:val="ListBullet"/>
        <w:ind w:left="360" w:hanging="360"/>
      </w:pPr>
      <w:r>
        <w:rPr>
          <w:rFonts w:ascii="Calibri" w:hAnsi="Calibri"/>
          <w:b/>
          <w:color w:val="525866"/>
          <w:sz w:val="22"/>
        </w:rPr>
        <w:t>Capital Plan Raised to $78B:</w:t>
      </w:r>
      <w:r>
        <w:rPr>
          <w:rFonts w:ascii="Calibri" w:hAnsi="Calibri"/>
          <w:color w:val="525866"/>
          <w:sz w:val="22"/>
        </w:rPr>
        <w:t xml:space="preserve"> AEP increased its 5-year capital plan to $78B (from $72B), driving an expected 11% rate base CAGR. Long-term EPS CAGR raised to &gt;9%. </w:t>
      </w:r>
      <w:r>
        <w:rPr>
          <w:rFonts w:ascii="Calibri" w:hAnsi="Calibri"/>
          <w:i/>
          <w:color w:val="525866"/>
          <w:sz w:val="22"/>
        </w:rPr>
        <w:t>WEC Read-Through:</w:t>
      </w:r>
      <w:r>
        <w:rPr>
          <w:rFonts w:ascii="Calibri" w:hAnsi="Calibri"/>
          <w:color w:val="525866"/>
          <w:sz w:val="22"/>
        </w:rPr>
        <w:t xml:space="preserve"> Positive — sector-wide capital plan increases validate WEC’s $37.5B plan and support the case for further upward revisions as new customers are announced.</w:t>
      </w:r>
    </w:p>
    <w:p>
      <w:pPr>
        <w:pStyle w:val="ListBullet"/>
        <w:ind w:left="360" w:hanging="360"/>
      </w:pPr>
      <w:r>
        <w:rPr>
          <w:rFonts w:ascii="Calibri" w:hAnsi="Calibri"/>
          <w:b/>
          <w:color w:val="525866"/>
          <w:sz w:val="22"/>
        </w:rPr>
        <w:t>Data Center Tariff Approvals in Multiple States:</w:t>
      </w:r>
      <w:r>
        <w:rPr>
          <w:rFonts w:ascii="Calibri" w:hAnsi="Calibri"/>
          <w:color w:val="525866"/>
          <w:sz w:val="22"/>
        </w:rPr>
        <w:t xml:space="preserve"> AEP secured data center tariff approvals in Ohio, Indiana, Kentucky, and West Virginia, with active filings in Michigan, Oklahoma, Texas, and Virginia. Tariffs include take-or-pay minimum demand charges. </w:t>
      </w:r>
      <w:r>
        <w:rPr>
          <w:rFonts w:ascii="Calibri" w:hAnsi="Calibri"/>
          <w:i/>
          <w:color w:val="525866"/>
          <w:sz w:val="22"/>
        </w:rPr>
        <w:t>WEC Read-Through:</w:t>
      </w:r>
      <w:r>
        <w:rPr>
          <w:rFonts w:ascii="Calibri" w:hAnsi="Calibri"/>
          <w:color w:val="525866"/>
          <w:sz w:val="22"/>
        </w:rPr>
        <w:t xml:space="preserve"> Positive — WEC’s VLC tariff approval in Wisconsin is consistent with a national regulatory trend; the framework is gaining broad acceptance.</w:t>
      </w:r>
    </w:p>
    <w:p>
      <w:pPr>
        <w:pStyle w:val="ListBullet"/>
        <w:ind w:left="360" w:hanging="360"/>
      </w:pPr>
      <w:r>
        <w:rPr>
          <w:rFonts w:ascii="Calibri" w:hAnsi="Calibri"/>
          <w:b/>
          <w:color w:val="525866"/>
          <w:sz w:val="22"/>
        </w:rPr>
        <w:t>FY 2026 Guidance Reaffirmed:</w:t>
      </w:r>
      <w:r>
        <w:rPr>
          <w:rFonts w:ascii="Calibri" w:hAnsi="Calibri"/>
          <w:color w:val="525866"/>
          <w:sz w:val="22"/>
        </w:rPr>
        <w:t xml:space="preserve"> AEP reaffirmed FY 2026 operating EPS guidance of $6.15–$6.45. </w:t>
      </w:r>
      <w:r>
        <w:rPr>
          <w:rFonts w:ascii="Calibri" w:hAnsi="Calibri"/>
          <w:i/>
          <w:color w:val="525866"/>
          <w:sz w:val="22"/>
        </w:rPr>
        <w:t>WEC Read-Through:</w:t>
      </w:r>
      <w:r>
        <w:rPr>
          <w:rFonts w:ascii="Calibri" w:hAnsi="Calibri"/>
          <w:color w:val="525866"/>
          <w:sz w:val="22"/>
        </w:rPr>
        <w:t xml:space="preserve"> Neutral — sector-wide reaffirmation reduces downside risk.</w:t>
      </w:r>
    </w:p>
    <w:p>
      <w:pPr>
        <w:pStyle w:val="Heading3"/>
      </w:pPr>
      <w:r>
        <w:rPr>
          <w:rFonts w:ascii="Calibri" w:hAnsi="Calibri"/>
          <w:b/>
          <w:color w:val="3B4259"/>
          <w:sz w:val="24"/>
        </w:rPr>
        <w:t>Entergy (ETR) — Investor Day (June 9, 2026)</w:t>
      </w:r>
    </w:p>
    <w:p>
      <w:r>
        <w:rPr>
          <w:rFonts w:ascii="Calibri" w:hAnsi="Calibri"/>
          <w:b/>
          <w:color w:val="525866"/>
          <w:sz w:val="22"/>
        </w:rPr>
        <w:t xml:space="preserve">Relevance to WEC: </w:t>
      </w:r>
      <w:r>
        <w:rPr>
          <w:rFonts w:ascii="Calibri" w:hAnsi="Calibri"/>
          <w:color w:val="525866"/>
          <w:sz w:val="22"/>
        </w:rPr>
        <w:t>Entergy’s June 2026 Investor Day (within the 60-day window) provided the most comprehensive industry-level data center demand outlook from any utility, with direct commentary from Meta and AWS on their energy needs.</w:t>
      </w:r>
    </w:p>
    <w:p>
      <w:pPr>
        <w:pStyle w:val="ListBullet"/>
        <w:ind w:left="360" w:hanging="360"/>
      </w:pPr>
      <w:r>
        <w:rPr>
          <w:rFonts w:ascii="Calibri" w:hAnsi="Calibri"/>
          <w:b/>
          <w:color w:val="525866"/>
          <w:sz w:val="22"/>
        </w:rPr>
        <w:t>Hyperscaler Demand is ‘Critical Feedstock’:</w:t>
      </w:r>
      <w:r>
        <w:rPr>
          <w:rFonts w:ascii="Calibri" w:hAnsi="Calibri"/>
          <w:color w:val="525866"/>
          <w:sz w:val="22"/>
        </w:rPr>
        <w:t xml:space="preserve"> Meta’s VP of Energy stated that “energy has become the critical feedstock into cloud and AI infrastructure,” with Meta’s Richland Parish, Louisiana project representing a 5 GW, $50B investment. AWS emphasized “continued need for more data over time” and “big focus on AI build-out.” </w:t>
      </w:r>
      <w:r>
        <w:rPr>
          <w:rFonts w:ascii="Calibri" w:hAnsi="Calibri"/>
          <w:i/>
          <w:color w:val="525866"/>
          <w:sz w:val="22"/>
        </w:rPr>
        <w:t>WEC Read-Through:</w:t>
      </w:r>
      <w:r>
        <w:rPr>
          <w:rFonts w:ascii="Calibri" w:hAnsi="Calibri"/>
          <w:color w:val="525866"/>
          <w:sz w:val="22"/>
        </w:rPr>
        <w:t xml:space="preserve"> Strongly positive — hyperscaler demand for utility power is structural and accelerating; WEC’s Microsoft and Vantage/Oracle/OpenAI relationships are with the same class of customers.</w:t>
      </w:r>
    </w:p>
    <w:p>
      <w:pPr>
        <w:pStyle w:val="ListBullet"/>
        <w:ind w:left="360" w:hanging="360"/>
      </w:pPr>
      <w:r>
        <w:rPr>
          <w:rFonts w:ascii="Calibri" w:hAnsi="Calibri"/>
          <w:b/>
          <w:color w:val="525866"/>
          <w:sz w:val="22"/>
        </w:rPr>
        <w:t>9% Retail Sales Growth, Industry-Leading:</w:t>
      </w:r>
      <w:r>
        <w:rPr>
          <w:rFonts w:ascii="Calibri" w:hAnsi="Calibri"/>
          <w:color w:val="525866"/>
          <w:sz w:val="22"/>
        </w:rPr>
        <w:t xml:space="preserve"> Entergy’s retail sales growth doubled to 9% from two years ago, described as “unmatched in the industry.” 24-month ESA outlook of 7–12 GW for data centers and 3–5 GW for other industries. </w:t>
      </w:r>
      <w:r>
        <w:rPr>
          <w:rFonts w:ascii="Calibri" w:hAnsi="Calibri"/>
          <w:i/>
          <w:color w:val="525866"/>
          <w:sz w:val="22"/>
        </w:rPr>
        <w:t>WEC Read-Through:</w:t>
      </w:r>
      <w:r>
        <w:rPr>
          <w:rFonts w:ascii="Calibri" w:hAnsi="Calibri"/>
          <w:color w:val="525866"/>
          <w:sz w:val="22"/>
        </w:rPr>
        <w:t xml:space="preserve"> Positive — WEC’s 1.5% FY 2026 sales growth guidance is conservative; as data center load ramps (especially Vantage from late 2027), WEC’s growth rate should accelerate materially.</w:t>
      </w:r>
    </w:p>
    <w:p>
      <w:pPr>
        <w:pStyle w:val="ListBullet"/>
        <w:ind w:left="360" w:hanging="360"/>
      </w:pPr>
      <w:r>
        <w:rPr>
          <w:rFonts w:ascii="Calibri" w:hAnsi="Calibri"/>
          <w:b/>
          <w:color w:val="525866"/>
          <w:sz w:val="22"/>
        </w:rPr>
        <w:t>Capital Plan Doubled to $67B:</w:t>
      </w:r>
      <w:r>
        <w:rPr>
          <w:rFonts w:ascii="Calibri" w:hAnsi="Calibri"/>
          <w:color w:val="525866"/>
          <w:sz w:val="22"/>
        </w:rPr>
        <w:t xml:space="preserve"> Entergy’s 5-year capital plan doubled to $67B (averaging $13B/year), driving 16% rate base CAGR — “highest in the industry.” EPS growth &gt;8% through 2030, described as “highest adjusted EPS growth rate in the industry.” </w:t>
      </w:r>
      <w:r>
        <w:rPr>
          <w:rFonts w:ascii="Calibri" w:hAnsi="Calibri"/>
          <w:i/>
          <w:color w:val="525866"/>
          <w:sz w:val="22"/>
        </w:rPr>
        <w:t>WEC Read-Through:</w:t>
      </w:r>
      <w:r>
        <w:rPr>
          <w:rFonts w:ascii="Calibri" w:hAnsi="Calibri"/>
          <w:color w:val="525866"/>
          <w:sz w:val="22"/>
        </w:rPr>
        <w:t xml:space="preserve"> Positive — WEC’s 7–8% EPS CAGR and $37.5B plan are well-positioned within the peer group; Entergy’s higher growth reflects its larger data center pipeline but also higher execution risk.</w:t>
      </w:r>
    </w:p>
    <w:p>
      <w:pPr>
        <w:pStyle w:val="ListBullet"/>
        <w:ind w:left="360" w:hanging="360"/>
      </w:pPr>
      <w:r>
        <w:rPr>
          <w:rFonts w:ascii="Calibri" w:hAnsi="Calibri"/>
          <w:b/>
          <w:color w:val="525866"/>
          <w:sz w:val="22"/>
        </w:rPr>
        <w:t>Fair Share Plus Pledge:</w:t>
      </w:r>
      <w:r>
        <w:rPr>
          <w:rFonts w:ascii="Calibri" w:hAnsi="Calibri"/>
          <w:color w:val="525866"/>
          <w:sz w:val="22"/>
        </w:rPr>
        <w:t xml:space="preserve"> Entergy’s “fair share plus” framework ensures data center customers cover incremental costs and their share of fixed costs (including storm and overhead), projected to save existing customers $7B over contract lives. </w:t>
      </w:r>
      <w:r>
        <w:rPr>
          <w:rFonts w:ascii="Calibri" w:hAnsi="Calibri"/>
          <w:i/>
          <w:color w:val="525866"/>
          <w:sz w:val="22"/>
        </w:rPr>
        <w:t>WEC Read-Through:</w:t>
      </w:r>
      <w:r>
        <w:rPr>
          <w:rFonts w:ascii="Calibri" w:hAnsi="Calibri"/>
          <w:color w:val="525866"/>
          <w:sz w:val="22"/>
        </w:rPr>
        <w:t xml:space="preserve"> Positive — WEC’s VLC tariff includes similar protections; Entergy’s quantification of customer savings ($7B) provides a template for WEC to communicate affordability benefits.</w:t>
      </w:r>
    </w:p>
    <w:p>
      <w:pPr>
        <w:pStyle w:val="Heading3"/>
      </w:pPr>
      <w:r>
        <w:rPr>
          <w:rFonts w:ascii="Calibri" w:hAnsi="Calibri"/>
          <w:b/>
          <w:color w:val="3B4259"/>
          <w:sz w:val="24"/>
        </w:rPr>
        <w:t>PPL Corporation (PPL) — Q1 2026 Earnings Call (May 8, 2026)</w:t>
      </w:r>
    </w:p>
    <w:p>
      <w:r>
        <w:rPr>
          <w:rFonts w:ascii="Calibri" w:hAnsi="Calibri"/>
          <w:b/>
          <w:color w:val="525866"/>
          <w:sz w:val="22"/>
        </w:rPr>
        <w:t xml:space="preserve">Relevance to WEC: </w:t>
      </w:r>
      <w:r>
        <w:rPr>
          <w:rFonts w:ascii="Calibri" w:hAnsi="Calibri"/>
          <w:color w:val="525866"/>
          <w:sz w:val="22"/>
        </w:rPr>
        <w:t>PPL is a regulated utility with significant data center growth in Pennsylvania and Kentucky, and a Blackstone JV for dedicated generation — a model that could be relevant to WEC’s future hyperscaler relationships.</w:t>
      </w:r>
    </w:p>
    <w:p>
      <w:pPr>
        <w:pStyle w:val="ListBullet"/>
        <w:ind w:left="360" w:hanging="360"/>
      </w:pPr>
      <w:r>
        <w:rPr>
          <w:rFonts w:ascii="Calibri" w:hAnsi="Calibri"/>
          <w:b/>
          <w:color w:val="525866"/>
          <w:sz w:val="22"/>
        </w:rPr>
        <w:t>28.3 GW in Advanced Planning in Pennsylvania:</w:t>
      </w:r>
      <w:r>
        <w:rPr>
          <w:rFonts w:ascii="Calibri" w:hAnsi="Calibri"/>
          <w:color w:val="525866"/>
          <w:sz w:val="22"/>
        </w:rPr>
        <w:t xml:space="preserve"> PPL’s Pennsylvania pipeline grew 12% to 28.3 GW in advanced planning stages, with ~10 GW having signed ESAs (QTS, AWS, PowerHouse, CoreWeave). 5 GW already under construction. </w:t>
      </w:r>
      <w:r>
        <w:rPr>
          <w:rFonts w:ascii="Calibri" w:hAnsi="Calibri"/>
          <w:i/>
          <w:color w:val="525866"/>
          <w:sz w:val="22"/>
        </w:rPr>
        <w:t>WEC Read-Through:</w:t>
      </w:r>
      <w:r>
        <w:rPr>
          <w:rFonts w:ascii="Calibri" w:hAnsi="Calibri"/>
          <w:color w:val="525866"/>
          <w:sz w:val="22"/>
        </w:rPr>
        <w:t xml:space="preserve"> Positive — hyperscaler ESA signings are accelerating across PJM territory; WEC’s Wisconsin sites (approved for 4–5 GW beyond current plan) are well-positioned for additional customer announcements.</w:t>
      </w:r>
    </w:p>
    <w:p>
      <w:pPr>
        <w:pStyle w:val="ListBullet"/>
        <w:ind w:left="360" w:hanging="360"/>
      </w:pPr>
      <w:r>
        <w:rPr>
          <w:rFonts w:ascii="Calibri" w:hAnsi="Calibri"/>
          <w:b/>
          <w:color w:val="525866"/>
          <w:sz w:val="22"/>
        </w:rPr>
        <w:t>AI Demand Driving Location Flexibility:</w:t>
      </w:r>
      <w:r>
        <w:rPr>
          <w:rFonts w:ascii="Calibri" w:hAnsi="Calibri"/>
          <w:color w:val="525866"/>
          <w:sz w:val="22"/>
        </w:rPr>
        <w:t xml:space="preserve"> PPL noted that AI large learning models are more location-flexible than traditional data centers, allowing development in areas with lower power prices (like Kentucky). </w:t>
      </w:r>
      <w:r>
        <w:rPr>
          <w:rFonts w:ascii="Calibri" w:hAnsi="Calibri"/>
          <w:i/>
          <w:color w:val="525866"/>
          <w:sz w:val="22"/>
        </w:rPr>
        <w:t>WEC Read-Through:</w:t>
      </w:r>
      <w:r>
        <w:rPr>
          <w:rFonts w:ascii="Calibri" w:hAnsi="Calibri"/>
          <w:color w:val="525866"/>
          <w:sz w:val="22"/>
        </w:rPr>
        <w:t xml:space="preserve"> Positive — Wisconsin’s competitive power costs and WEC’s approved acreage make it an attractive destination for AI-driven data center development.</w:t>
      </w:r>
    </w:p>
    <w:p>
      <w:pPr>
        <w:pStyle w:val="ListBullet"/>
        <w:ind w:left="360" w:hanging="360"/>
      </w:pPr>
      <w:r>
        <w:rPr>
          <w:rFonts w:ascii="Calibri" w:hAnsi="Calibri"/>
          <w:b/>
          <w:color w:val="525866"/>
          <w:sz w:val="22"/>
        </w:rPr>
        <w:t>Blackstone JV for Dedicated Generation:</w:t>
      </w:r>
      <w:r>
        <w:rPr>
          <w:rFonts w:ascii="Calibri" w:hAnsi="Calibri"/>
          <w:color w:val="525866"/>
          <w:sz w:val="22"/>
        </w:rPr>
        <w:t xml:space="preserve"> PPL’s JV with Blackstone is advancing, with hyperscaler interest high and gas turbine reservation agreements being executed. JV will not build without signed ESSAs. </w:t>
      </w:r>
      <w:r>
        <w:rPr>
          <w:rFonts w:ascii="Calibri" w:hAnsi="Calibri"/>
          <w:i/>
          <w:color w:val="525866"/>
          <w:sz w:val="22"/>
        </w:rPr>
        <w:t>WEC Read-Through:</w:t>
      </w:r>
      <w:r>
        <w:rPr>
          <w:rFonts w:ascii="Calibri" w:hAnsi="Calibri"/>
          <w:color w:val="525866"/>
          <w:sz w:val="22"/>
        </w:rPr>
        <w:t xml:space="preserve"> Neutral-to-positive — WEC’s VLC tariff model (utility-owned dedicated generation) is a different but complementary approach; PPL’s JV model may be relevant if WEC pursues additional hyperscaler relationships beyond current customers.</w:t>
      </w:r>
    </w:p>
    <w:p>
      <w:pPr>
        <w:pStyle w:val="ListBullet"/>
        <w:ind w:left="360" w:hanging="360"/>
      </w:pPr>
      <w:r>
        <w:rPr>
          <w:rFonts w:ascii="Calibri" w:hAnsi="Calibri"/>
          <w:b/>
          <w:color w:val="525866"/>
          <w:sz w:val="22"/>
        </w:rPr>
        <w:t>FY 2026 Guidance Reaffirmed:</w:t>
      </w:r>
      <w:r>
        <w:rPr>
          <w:rFonts w:ascii="Calibri" w:hAnsi="Calibri"/>
          <w:color w:val="525866"/>
          <w:sz w:val="22"/>
        </w:rPr>
        <w:t xml:space="preserve"> PPL reaffirmed FY 2026 ongoing EPS guidance of $1.90–$1.98 ($1.94 midpoint) and 6–8% long-term EPS growth through 2029. </w:t>
      </w:r>
      <w:r>
        <w:rPr>
          <w:rFonts w:ascii="Calibri" w:hAnsi="Calibri"/>
          <w:i/>
          <w:color w:val="525866"/>
          <w:sz w:val="22"/>
        </w:rPr>
        <w:t>WEC Read-Through:</w:t>
      </w:r>
      <w:r>
        <w:rPr>
          <w:rFonts w:ascii="Calibri" w:hAnsi="Calibri"/>
          <w:color w:val="525866"/>
          <w:sz w:val="22"/>
        </w:rPr>
        <w:t xml:space="preserve"> Neutral — sector-wide reaffirmation.</w:t>
      </w:r>
    </w:p>
    <w:p>
      <w:r>
        <w:rPr>
          <w:rFonts w:ascii="Calibri" w:hAnsi="Calibri"/>
          <w:b/>
          <w:color w:val="525866"/>
          <w:sz w:val="22"/>
        </w:rPr>
        <w:t>Peer Commentary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 / Date</w:t>
            </w:r>
          </w:p>
        </w:tc>
        <w:tc>
          <w:tcPr>
            <w:tcW w:type="dxa" w:w="2160"/>
            <w:shd w:val="clear" w:color="auto" w:fill="3B4259"/>
          </w:tcPr>
          <w:p>
            <w:r>
              <w:rPr>
                <w:rFonts w:ascii="Calibri" w:hAnsi="Calibri"/>
                <w:b/>
                <w:color w:val="FFFFFF"/>
                <w:sz w:val="22"/>
              </w:rPr>
              <w:t>Key Data Center Signal</w:t>
            </w:r>
          </w:p>
        </w:tc>
        <w:tc>
          <w:tcPr>
            <w:tcW w:type="dxa" w:w="2160"/>
            <w:shd w:val="clear" w:color="auto" w:fill="3B4259"/>
          </w:tcPr>
          <w:p>
            <w:r>
              <w:rPr>
                <w:rFonts w:ascii="Calibri" w:hAnsi="Calibri"/>
                <w:b/>
                <w:color w:val="FFFFFF"/>
                <w:sz w:val="22"/>
              </w:rPr>
              <w:t>WEC Read-Through</w:t>
            </w:r>
          </w:p>
        </w:tc>
      </w:tr>
      <w:tr>
        <w:tc>
          <w:tcPr>
            <w:tcW w:type="dxa" w:w="2160"/>
          </w:tcPr>
          <w:p>
            <w:r>
              <w:rPr>
                <w:rFonts w:ascii="Calibri" w:hAnsi="Calibri"/>
                <w:sz w:val="22"/>
              </w:rPr>
              <w:t>CMS Energy</w:t>
            </w:r>
          </w:p>
        </w:tc>
        <w:tc>
          <w:tcPr>
            <w:tcW w:type="dxa" w:w="2160"/>
          </w:tcPr>
          <w:p>
            <w:r>
              <w:rPr>
                <w:rFonts w:ascii="Calibri" w:hAnsi="Calibri"/>
                <w:sz w:val="22"/>
              </w:rPr>
              <w:t>Q2 2026 Earnings (Jul 28)</w:t>
            </w:r>
          </w:p>
        </w:tc>
        <w:tc>
          <w:tcPr>
            <w:tcW w:type="dxa" w:w="2160"/>
          </w:tcPr>
          <w:p>
            <w:r>
              <w:rPr>
                <w:rFonts w:ascii="Calibri" w:hAnsi="Calibri"/>
                <w:sz w:val="22"/>
              </w:rPr>
              <w:t>Large load tariff agreement signed; 2–3% sales growth; FY 2026 guidance reaffirmed</w:t>
            </w:r>
          </w:p>
        </w:tc>
        <w:tc>
          <w:tcPr>
            <w:tcW w:type="dxa" w:w="2160"/>
          </w:tcPr>
          <w:p>
            <w:r>
              <w:rPr>
                <w:rFonts w:ascii="Calibri" w:hAnsi="Calibri"/>
                <w:b/>
                <w:color w:val="30A46C"/>
                <w:sz w:val="22"/>
              </w:rPr>
              <w:t>Positive</w:t>
            </w:r>
          </w:p>
        </w:tc>
      </w:tr>
      <w:tr>
        <w:tc>
          <w:tcPr>
            <w:tcW w:type="dxa" w:w="2160"/>
          </w:tcPr>
          <w:p>
            <w:r>
              <w:rPr>
                <w:rFonts w:ascii="Calibri" w:hAnsi="Calibri"/>
                <w:sz w:val="22"/>
              </w:rPr>
              <w:t>Duke Energy</w:t>
            </w:r>
          </w:p>
        </w:tc>
        <w:tc>
          <w:tcPr>
            <w:tcW w:type="dxa" w:w="2160"/>
          </w:tcPr>
          <w:p>
            <w:r>
              <w:rPr>
                <w:rFonts w:ascii="Calibri" w:hAnsi="Calibri"/>
                <w:sz w:val="22"/>
              </w:rPr>
              <w:t>Q1 2026 Earnings (May 5)</w:t>
            </w:r>
          </w:p>
        </w:tc>
        <w:tc>
          <w:tcPr>
            <w:tcW w:type="dxa" w:w="2160"/>
          </w:tcPr>
          <w:p>
            <w:r>
              <w:rPr>
                <w:rFonts w:ascii="Calibri" w:hAnsi="Calibri"/>
                <w:sz w:val="22"/>
              </w:rPr>
              <w:t>+2.7 GW ESAs signed in Q1; total 7.6 GW; pipeline 15.4 GW; $103B capex plan</w:t>
            </w:r>
          </w:p>
        </w:tc>
        <w:tc>
          <w:tcPr>
            <w:tcW w:type="dxa" w:w="2160"/>
          </w:tcPr>
          <w:p>
            <w:r>
              <w:rPr>
                <w:rFonts w:ascii="Calibri" w:hAnsi="Calibri"/>
                <w:b/>
                <w:color w:val="30A46C"/>
                <w:sz w:val="22"/>
              </w:rPr>
              <w:t>Strongly Positive</w:t>
            </w:r>
          </w:p>
        </w:tc>
      </w:tr>
      <w:tr>
        <w:tc>
          <w:tcPr>
            <w:tcW w:type="dxa" w:w="2160"/>
          </w:tcPr>
          <w:p>
            <w:r>
              <w:rPr>
                <w:rFonts w:ascii="Calibri" w:hAnsi="Calibri"/>
                <w:sz w:val="22"/>
              </w:rPr>
              <w:t>Evergy</w:t>
            </w:r>
          </w:p>
        </w:tc>
        <w:tc>
          <w:tcPr>
            <w:tcW w:type="dxa" w:w="2160"/>
          </w:tcPr>
          <w:p>
            <w:r>
              <w:rPr>
                <w:rFonts w:ascii="Calibri" w:hAnsi="Calibri"/>
                <w:sz w:val="22"/>
              </w:rPr>
              <w:t>Q1 2026 Earnings (May 7)</w:t>
            </w:r>
          </w:p>
        </w:tc>
        <w:tc>
          <w:tcPr>
            <w:tcW w:type="dxa" w:w="2160"/>
          </w:tcPr>
          <w:p>
            <w:r>
              <w:rPr>
                <w:rFonts w:ascii="Calibri" w:hAnsi="Calibri"/>
                <w:sz w:val="22"/>
              </w:rPr>
              <w:t>5th ESA signed; 3.0 GW total; load growth CAGR raised to 7–8%; +4.7% weather-normal demand</w:t>
            </w:r>
          </w:p>
        </w:tc>
        <w:tc>
          <w:tcPr>
            <w:tcW w:type="dxa" w:w="2160"/>
          </w:tcPr>
          <w:p>
            <w:r>
              <w:rPr>
                <w:rFonts w:ascii="Calibri" w:hAnsi="Calibri"/>
                <w:b/>
                <w:color w:val="30A46C"/>
                <w:sz w:val="22"/>
              </w:rPr>
              <w:t>Strongly Positive</w:t>
            </w:r>
          </w:p>
        </w:tc>
      </w:tr>
      <w:tr>
        <w:tc>
          <w:tcPr>
            <w:tcW w:type="dxa" w:w="2160"/>
          </w:tcPr>
          <w:p>
            <w:r>
              <w:rPr>
                <w:rFonts w:ascii="Calibri" w:hAnsi="Calibri"/>
                <w:sz w:val="22"/>
              </w:rPr>
              <w:t>AEP</w:t>
            </w:r>
          </w:p>
        </w:tc>
        <w:tc>
          <w:tcPr>
            <w:tcW w:type="dxa" w:w="2160"/>
          </w:tcPr>
          <w:p>
            <w:r>
              <w:rPr>
                <w:rFonts w:ascii="Calibri" w:hAnsi="Calibri"/>
                <w:sz w:val="22"/>
              </w:rPr>
              <w:t>Q1 2026 Earnings (May 5)</w:t>
            </w:r>
          </w:p>
        </w:tc>
        <w:tc>
          <w:tcPr>
            <w:tcW w:type="dxa" w:w="2160"/>
          </w:tcPr>
          <w:p>
            <w:r>
              <w:rPr>
                <w:rFonts w:ascii="Calibri" w:hAnsi="Calibri"/>
                <w:sz w:val="22"/>
              </w:rPr>
              <w:t>63 GW contracted; +7 GW in Q1; capex raised to $78B; EPS CAGR &gt;9%</w:t>
            </w:r>
          </w:p>
        </w:tc>
        <w:tc>
          <w:tcPr>
            <w:tcW w:type="dxa" w:w="2160"/>
          </w:tcPr>
          <w:p>
            <w:r>
              <w:rPr>
                <w:rFonts w:ascii="Calibri" w:hAnsi="Calibri"/>
                <w:b/>
                <w:color w:val="30A46C"/>
                <w:sz w:val="22"/>
              </w:rPr>
              <w:t>Strongly Positive</w:t>
            </w:r>
          </w:p>
        </w:tc>
      </w:tr>
      <w:tr>
        <w:tc>
          <w:tcPr>
            <w:tcW w:type="dxa" w:w="2160"/>
          </w:tcPr>
          <w:p>
            <w:r>
              <w:rPr>
                <w:rFonts w:ascii="Calibri" w:hAnsi="Calibri"/>
                <w:sz w:val="22"/>
              </w:rPr>
              <w:t>Entergy</w:t>
            </w:r>
          </w:p>
        </w:tc>
        <w:tc>
          <w:tcPr>
            <w:tcW w:type="dxa" w:w="2160"/>
          </w:tcPr>
          <w:p>
            <w:r>
              <w:rPr>
                <w:rFonts w:ascii="Calibri" w:hAnsi="Calibri"/>
                <w:sz w:val="22"/>
              </w:rPr>
              <w:t>Investor Day (Jun 9)</w:t>
            </w:r>
          </w:p>
        </w:tc>
        <w:tc>
          <w:tcPr>
            <w:tcW w:type="dxa" w:w="2160"/>
          </w:tcPr>
          <w:p>
            <w:r>
              <w:rPr>
                <w:rFonts w:ascii="Calibri" w:hAnsi="Calibri"/>
                <w:sz w:val="22"/>
              </w:rPr>
              <w:t>9% retail sales growth; $67B capex plan; Meta 5 GW/$50B; AWS AI build-out; &gt;8% EPS CAGR</w:t>
            </w:r>
          </w:p>
        </w:tc>
        <w:tc>
          <w:tcPr>
            <w:tcW w:type="dxa" w:w="2160"/>
          </w:tcPr>
          <w:p>
            <w:r>
              <w:rPr>
                <w:rFonts w:ascii="Calibri" w:hAnsi="Calibri"/>
                <w:b/>
                <w:color w:val="30A46C"/>
                <w:sz w:val="22"/>
              </w:rPr>
              <w:t>Strongly Positive</w:t>
            </w:r>
          </w:p>
        </w:tc>
      </w:tr>
      <w:tr>
        <w:tc>
          <w:tcPr>
            <w:tcW w:type="dxa" w:w="2160"/>
          </w:tcPr>
          <w:p>
            <w:r>
              <w:rPr>
                <w:rFonts w:ascii="Calibri" w:hAnsi="Calibri"/>
                <w:sz w:val="22"/>
              </w:rPr>
              <w:t>PPL</w:t>
            </w:r>
          </w:p>
        </w:tc>
        <w:tc>
          <w:tcPr>
            <w:tcW w:type="dxa" w:w="2160"/>
          </w:tcPr>
          <w:p>
            <w:r>
              <w:rPr>
                <w:rFonts w:ascii="Calibri" w:hAnsi="Calibri"/>
                <w:sz w:val="22"/>
              </w:rPr>
              <w:t>Q1 2026 Earnings (May 8)</w:t>
            </w:r>
          </w:p>
        </w:tc>
        <w:tc>
          <w:tcPr>
            <w:tcW w:type="dxa" w:w="2160"/>
          </w:tcPr>
          <w:p>
            <w:r>
              <w:rPr>
                <w:rFonts w:ascii="Calibri" w:hAnsi="Calibri"/>
                <w:sz w:val="22"/>
              </w:rPr>
              <w:t>28.3 GW PA pipeline; 10 GW ESAs signed; Blackstone JV advancing; AI location flexibility</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since Q1 earnings. The only Form 4 activity consists of routine phantom stock unit awards to directors (July 8) and an option exercise by an EVP (May 19) — neither signals any directional view on the stock. The absence of insider selling ahead of earnings is a mild positive.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 Units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Cunningham, Danny L.</w:t>
            </w:r>
          </w:p>
        </w:tc>
        <w:tc>
          <w:tcPr>
            <w:tcW w:type="dxa" w:w="1440"/>
          </w:tcPr>
          <w:p>
            <w:r>
              <w:rPr>
                <w:rFonts w:ascii="Calibri" w:hAnsi="Calibri"/>
                <w:sz w:val="22"/>
              </w:rPr>
              <w:t>Director</w:t>
            </w:r>
          </w:p>
        </w:tc>
        <w:tc>
          <w:tcPr>
            <w:tcW w:type="dxa" w:w="1440"/>
          </w:tcPr>
          <w:p>
            <w:r>
              <w:rPr>
                <w:rFonts w:ascii="Calibri" w:hAnsi="Calibri"/>
                <w:sz w:val="22"/>
              </w:rPr>
              <w:t>Award (Code A)</w:t>
            </w:r>
          </w:p>
        </w:tc>
        <w:tc>
          <w:tcPr>
            <w:tcW w:type="dxa" w:w="1440"/>
          </w:tcPr>
          <w:p>
            <w:r>
              <w:rPr>
                <w:rFonts w:ascii="Calibri" w:hAnsi="Calibri"/>
                <w:sz w:val="22"/>
              </w:rPr>
              <w:t>320.5 Phantom Stock Units</w:t>
            </w:r>
          </w:p>
        </w:tc>
        <w:tc>
          <w:tcPr>
            <w:tcW w:type="dxa" w:w="1440"/>
          </w:tcPr>
          <w:p>
            <w:r>
              <w:rPr>
                <w:rFonts w:ascii="Calibri" w:hAnsi="Calibri"/>
                <w:sz w:val="22"/>
              </w:rPr>
              <w:t>July 8, 2026</w:t>
            </w:r>
          </w:p>
        </w:tc>
        <w:tc>
          <w:tcPr>
            <w:tcW w:type="dxa" w:w="1440"/>
          </w:tcPr>
          <w:p>
            <w:r>
              <w:rPr>
                <w:rFonts w:ascii="Calibri" w:hAnsi="Calibri"/>
                <w:sz w:val="22"/>
              </w:rPr>
              <w:t>Routine director compensation award; not an open-market transaction. Total holdings: 23,690 units.</w:t>
            </w:r>
          </w:p>
        </w:tc>
      </w:tr>
      <w:tr>
        <w:tc>
          <w:tcPr>
            <w:tcW w:type="dxa" w:w="1440"/>
          </w:tcPr>
          <w:p>
            <w:r>
              <w:rPr>
                <w:rFonts w:ascii="Calibri" w:hAnsi="Calibri"/>
                <w:sz w:val="22"/>
              </w:rPr>
              <w:t>Lane, Thomas K.</w:t>
            </w:r>
          </w:p>
        </w:tc>
        <w:tc>
          <w:tcPr>
            <w:tcW w:type="dxa" w:w="1440"/>
          </w:tcPr>
          <w:p>
            <w:r>
              <w:rPr>
                <w:rFonts w:ascii="Calibri" w:hAnsi="Calibri"/>
                <w:sz w:val="22"/>
              </w:rPr>
              <w:t>Director</w:t>
            </w:r>
          </w:p>
        </w:tc>
        <w:tc>
          <w:tcPr>
            <w:tcW w:type="dxa" w:w="1440"/>
          </w:tcPr>
          <w:p>
            <w:r>
              <w:rPr>
                <w:rFonts w:ascii="Calibri" w:hAnsi="Calibri"/>
                <w:sz w:val="22"/>
              </w:rPr>
              <w:t>Award (Code A)</w:t>
            </w:r>
          </w:p>
        </w:tc>
        <w:tc>
          <w:tcPr>
            <w:tcW w:type="dxa" w:w="1440"/>
          </w:tcPr>
          <w:p>
            <w:r>
              <w:rPr>
                <w:rFonts w:ascii="Calibri" w:hAnsi="Calibri"/>
                <w:sz w:val="22"/>
              </w:rPr>
              <w:t>267.1 Phantom Stock Units</w:t>
            </w:r>
          </w:p>
        </w:tc>
        <w:tc>
          <w:tcPr>
            <w:tcW w:type="dxa" w:w="1440"/>
          </w:tcPr>
          <w:p>
            <w:r>
              <w:rPr>
                <w:rFonts w:ascii="Calibri" w:hAnsi="Calibri"/>
                <w:sz w:val="22"/>
              </w:rPr>
              <w:t>July 8, 2026</w:t>
            </w:r>
          </w:p>
        </w:tc>
        <w:tc>
          <w:tcPr>
            <w:tcW w:type="dxa" w:w="1440"/>
          </w:tcPr>
          <w:p>
            <w:r>
              <w:rPr>
                <w:rFonts w:ascii="Calibri" w:hAnsi="Calibri"/>
                <w:sz w:val="22"/>
              </w:rPr>
              <w:t>Routine director compensation award; not an open-market transaction. Total holdings: 18,149 units.</w:t>
            </w:r>
          </w:p>
        </w:tc>
      </w:tr>
      <w:tr>
        <w:tc>
          <w:tcPr>
            <w:tcW w:type="dxa" w:w="1440"/>
          </w:tcPr>
          <w:p>
            <w:r>
              <w:rPr>
                <w:rFonts w:ascii="Calibri" w:hAnsi="Calibri"/>
                <w:sz w:val="22"/>
              </w:rPr>
              <w:t>Stanek, Mary Ellen</w:t>
            </w:r>
          </w:p>
        </w:tc>
        <w:tc>
          <w:tcPr>
            <w:tcW w:type="dxa" w:w="1440"/>
          </w:tcPr>
          <w:p>
            <w:r>
              <w:rPr>
                <w:rFonts w:ascii="Calibri" w:hAnsi="Calibri"/>
                <w:sz w:val="22"/>
              </w:rPr>
              <w:t>Director</w:t>
            </w:r>
          </w:p>
        </w:tc>
        <w:tc>
          <w:tcPr>
            <w:tcW w:type="dxa" w:w="1440"/>
          </w:tcPr>
          <w:p>
            <w:r>
              <w:rPr>
                <w:rFonts w:ascii="Calibri" w:hAnsi="Calibri"/>
                <w:sz w:val="22"/>
              </w:rPr>
              <w:t>Award (Code A)</w:t>
            </w:r>
          </w:p>
        </w:tc>
        <w:tc>
          <w:tcPr>
            <w:tcW w:type="dxa" w:w="1440"/>
          </w:tcPr>
          <w:p>
            <w:r>
              <w:rPr>
                <w:rFonts w:ascii="Calibri" w:hAnsi="Calibri"/>
                <w:sz w:val="22"/>
              </w:rPr>
              <w:t>309.8 Phantom Stock Units</w:t>
            </w:r>
          </w:p>
        </w:tc>
        <w:tc>
          <w:tcPr>
            <w:tcW w:type="dxa" w:w="1440"/>
          </w:tcPr>
          <w:p>
            <w:r>
              <w:rPr>
                <w:rFonts w:ascii="Calibri" w:hAnsi="Calibri"/>
                <w:sz w:val="22"/>
              </w:rPr>
              <w:t>July 8, 2026</w:t>
            </w:r>
          </w:p>
        </w:tc>
        <w:tc>
          <w:tcPr>
            <w:tcW w:type="dxa" w:w="1440"/>
          </w:tcPr>
          <w:p>
            <w:r>
              <w:rPr>
                <w:rFonts w:ascii="Calibri" w:hAnsi="Calibri"/>
                <w:sz w:val="22"/>
              </w:rPr>
              <w:t>Routine director compensation award; not an open-market transaction. Total holdings: 54,299 units.</w:t>
            </w:r>
          </w:p>
        </w:tc>
      </w:tr>
      <w:tr>
        <w:tc>
          <w:tcPr>
            <w:tcW w:type="dxa" w:w="1440"/>
          </w:tcPr>
          <w:p>
            <w:r>
              <w:rPr>
                <w:rFonts w:ascii="Calibri" w:hAnsi="Calibri"/>
                <w:sz w:val="22"/>
              </w:rPr>
              <w:t>Krueger, Daniel</w:t>
            </w:r>
          </w:p>
        </w:tc>
        <w:tc>
          <w:tcPr>
            <w:tcW w:type="dxa" w:w="1440"/>
          </w:tcPr>
          <w:p>
            <w:r>
              <w:rPr>
                <w:rFonts w:ascii="Calibri" w:hAnsi="Calibri"/>
                <w:sz w:val="22"/>
              </w:rPr>
              <w:t>EVP, WEC Infrastructure</w:t>
            </w:r>
          </w:p>
        </w:tc>
        <w:tc>
          <w:tcPr>
            <w:tcW w:type="dxa" w:w="1440"/>
          </w:tcPr>
          <w:p>
            <w:r>
              <w:rPr>
                <w:rFonts w:ascii="Calibri" w:hAnsi="Calibri"/>
                <w:sz w:val="22"/>
              </w:rPr>
              <w:t>Option Exercise (Code M)</w:t>
            </w:r>
          </w:p>
        </w:tc>
        <w:tc>
          <w:tcPr>
            <w:tcW w:type="dxa" w:w="1440"/>
          </w:tcPr>
          <w:p>
            <w:r>
              <w:rPr>
                <w:rFonts w:ascii="Calibri" w:hAnsi="Calibri"/>
                <w:sz w:val="22"/>
              </w:rPr>
              <w:t>4,665 Common Shares</w:t>
            </w:r>
          </w:p>
        </w:tc>
        <w:tc>
          <w:tcPr>
            <w:tcW w:type="dxa" w:w="1440"/>
          </w:tcPr>
          <w:p>
            <w:r>
              <w:rPr>
                <w:rFonts w:ascii="Calibri" w:hAnsi="Calibri"/>
                <w:sz w:val="22"/>
              </w:rPr>
              <w:t>May 19, 2026</w:t>
            </w:r>
          </w:p>
        </w:tc>
        <w:tc>
          <w:tcPr>
            <w:tcW w:type="dxa" w:w="1440"/>
          </w:tcPr>
          <w:p>
            <w:r>
              <w:rPr>
                <w:rFonts w:ascii="Calibri" w:hAnsi="Calibri"/>
                <w:sz w:val="22"/>
              </w:rPr>
              <w:t>Option exercise (acquisition); not a discretionary open-market buy or sell. Post-exercise holdings: 7,346 shares.</w:t>
            </w:r>
          </w:p>
        </w:tc>
      </w:tr>
      <w:tr>
        <w:tc>
          <w:tcPr>
            <w:tcW w:type="dxa" w:w="1440"/>
          </w:tcPr>
          <w:p>
            <w:r>
              <w:rPr>
                <w:rFonts w:ascii="Calibri" w:hAnsi="Calibri"/>
                <w:sz w:val="22"/>
              </w:rPr>
              <w:t>Reese, Anthony</w:t>
            </w:r>
          </w:p>
        </w:tc>
        <w:tc>
          <w:tcPr>
            <w:tcW w:type="dxa" w:w="1440"/>
          </w:tcPr>
          <w:p>
            <w:r>
              <w:rPr>
                <w:rFonts w:ascii="Calibri" w:hAnsi="Calibri"/>
                <w:sz w:val="22"/>
              </w:rPr>
              <w:t>VP and Treasurer</w:t>
            </w:r>
          </w:p>
        </w:tc>
        <w:tc>
          <w:tcPr>
            <w:tcW w:type="dxa" w:w="1440"/>
          </w:tcPr>
          <w:p>
            <w:r>
              <w:rPr>
                <w:rFonts w:ascii="Calibri" w:hAnsi="Calibri"/>
                <w:sz w:val="22"/>
              </w:rPr>
              <w:t>Award (Code I)</w:t>
            </w:r>
          </w:p>
        </w:tc>
        <w:tc>
          <w:tcPr>
            <w:tcW w:type="dxa" w:w="1440"/>
          </w:tcPr>
          <w:p>
            <w:r>
              <w:rPr>
                <w:rFonts w:ascii="Calibri" w:hAnsi="Calibri"/>
                <w:sz w:val="22"/>
              </w:rPr>
              <w:t>950.7 Phantom Stock Units</w:t>
            </w:r>
          </w:p>
        </w:tc>
        <w:tc>
          <w:tcPr>
            <w:tcW w:type="dxa" w:w="1440"/>
          </w:tcPr>
          <w:p>
            <w:r>
              <w:rPr>
                <w:rFonts w:ascii="Calibri" w:hAnsi="Calibri"/>
                <w:sz w:val="22"/>
              </w:rPr>
              <w:t>May 12, 2026</w:t>
            </w:r>
          </w:p>
        </w:tc>
        <w:tc>
          <w:tcPr>
            <w:tcW w:type="dxa" w:w="1440"/>
          </w:tcPr>
          <w:p>
            <w:r>
              <w:rPr>
                <w:rFonts w:ascii="Calibri" w:hAnsi="Calibri"/>
                <w:sz w:val="22"/>
              </w:rPr>
              <w:t>Phantom stock unit award; not an open-market transaction. Total holdings: 1,787 units.</w:t>
            </w:r>
          </w:p>
        </w:tc>
      </w:tr>
    </w:tbl>
    <w:p>
      <w:r>
        <w:rPr>
          <w:rFonts w:ascii="Calibri" w:hAnsi="Calibri"/>
          <w:color w:val="525866"/>
          <w:sz w:val="22"/>
        </w:rPr>
        <w:t xml:space="preserve">No open-market buys (Form 4 Code P) or open-market sells (Form 4 Code S) were filed by any WEC insider since the Q1 2026 earnings date (May 5, 2026). All transactions are routine compensation-related awards or option exercises. The absence of discretionary insider selling ahead of the Q2 print is a mild positive signal. </w:t>
      </w:r>
      <w:r>
        <w:rPr>
          <w:rFonts w:ascii="Calibri" w:hAnsi="Calibri"/>
          <w:i/>
          <w:color w:val="525866"/>
          <w:sz w:val="22"/>
        </w:rPr>
        <w:t>Source: Insider Transaction Data (SEC Form 4).</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