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wec-earnings-predictions--2026-07-29"/>
    <w:p>
      <w:pPr>
        <w:pStyle w:val="Heading1"/>
      </w:pPr>
      <w:r>
        <w:t xml:space="preserve">WEC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~$0.810 vs. cons $0.8085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~$2.100B vs. cons $2.089B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Capital expenditures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~$1.400B vs. cons $1.382B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operating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5.51</m:t>
              </m:r>
              <m:r>
                <m:rPr>
                  <m:sty m:val="p"/>
                </m:rPr>
                <m:t>−</m:t>
              </m:r>
            </m:oMath>
            <w:r>
              <w:t xml:space="preserve">5.61 vs. cons $5.5998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Large-load / data-center commentary (2026-30)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reaffirm 3.9 GW plan; no formal incremental update expected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WEC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+1.5% (FADE)</w:t>
            </w:r>
          </w:p>
        </w:tc>
        <w:tc>
          <w:tcPr/>
          <w:p>
            <w:pPr>
              <w:pStyle w:val="Compact"/>
            </w:pPr>
            <w:r>
              <w:t xml:space="preserve">FADE - initial F-archetype selloff then recovery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2026-07-31T21:34:06Z</dcterms:created>
  <dcterms:modified xsi:type="dcterms:W3CDTF">2026-07-31T21:34:06Z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