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I'll research WM (Waste Management) before writing the earnings preview. Let me gather recent data.Let me read the most recent earnings materials and check for analyst expectations.Let me get the full-year 2026 guidance and prior-year Q2 comp, plus recent stock price and news.Let me get the FY2026 guidance (from Q4 2025 release) and the prior-year Q2 2025 results for comps.I have what I need. Let me pull the latest stock levels into perspective and write the preview.Here is my earnings preview.</w:t>
      </w:r>
    </w:p>
    <w:p>
      <w:r>
        <w:pict>
          <v:rect style="width:0;height:1.5pt" o:hralign="center" o:hrstd="t" o:hr="t"/>
        </w:pict>
      </w:r>
    </w:p>
    <w:bookmarkStart w:id="22" w:name="X97827cd14ba6967629f92acd96b76fdcf5c1caa"/>
    <w:p>
      <w:pPr>
        <w:pStyle w:val="Heading1"/>
      </w:pPr>
      <w:r>
        <w:t xml:space="preserve">WM (Waste Management) — Q2 2026 Earnings Preview</w:t>
      </w:r>
    </w:p>
    <w:bookmarkStart w:id="9" w:name="Xa626a4a50dd659788f80f7a6e2b1a846b4ff34b"/>
    <w:p>
      <w:pPr>
        <w:pStyle w:val="Heading3"/>
      </w:pPr>
      <w:r>
        <w:t xml:space="preserve">Reports before market open Tuesday, July 28, 2026 (conference call 10:00 a.m. ET, July 29)</w:t>
      </w:r>
    </w:p>
    <w:bookmarkEnd w:id="9"/>
    <w:bookmarkStart w:id="10" w:name="the-one-line-setup"/>
    <w:p>
      <w:pPr>
        <w:pStyle w:val="Heading2"/>
      </w:pPr>
      <w:r>
        <w:t xml:space="preserve">The one-line setup</w:t>
      </w:r>
    </w:p>
    <w:p>
      <w:pPr>
        <w:pStyle w:val="FirstParagraph"/>
      </w:pPr>
      <w:r>
        <w:t xml:space="preserve">WM heads into Q2 as a "show-me-the-harvest" story: after a two-year, multi-billion-dollar investment cycle in sustainability (RNG + recycling), fleet, and the Stericycle/Healthcare acquisition, 2026 is management's self-described</w:t>
      </w:r>
      <w:r>
        <w:t xml:space="preserve"> </w:t>
      </w:r>
      <w:r>
        <w:rPr>
          <w:b/>
          <w:bCs/>
        </w:rPr>
        <w:t xml:space="preserve">"year of harvest."</w:t>
      </w:r>
      <w:r>
        <w:t xml:space="preserve"> </w:t>
      </w:r>
      <w:r>
        <w:t xml:space="preserve">The core solid-waste machine remains exceptionally durable, but this print carries a</w:t>
      </w:r>
      <w:r>
        <w:t xml:space="preserve"> </w:t>
      </w:r>
      <w:r>
        <w:rPr>
          <w:b/>
          <w:bCs/>
        </w:rPr>
        <w:t xml:space="preserve">tough year-over-year comp</w:t>
      </w:r>
      <w:r>
        <w:t xml:space="preserve"> </w:t>
      </w:r>
      <w:r>
        <w:t xml:space="preserve">(last year's California wildfire cleanup volumes) and sets up the</w:t>
      </w:r>
      <w:r>
        <w:t xml:space="preserve"> </w:t>
      </w:r>
      <w:r>
        <w:rPr>
          <w:b/>
          <w:bCs/>
        </w:rPr>
        <w:t xml:space="preserve">mid-year guidance refresh</w:t>
      </w:r>
      <w:r>
        <w:t xml:space="preserve"> </w:t>
      </w:r>
      <w:r>
        <w:t xml:space="preserve">that investors most want to see.</w:t>
      </w:r>
    </w:p>
    <w:p>
      <w:r>
        <w:pict>
          <v:rect style="width:0;height:1.5pt" o:hralign="center" o:hrstd="t" o:hr="t"/>
        </w:pict>
      </w:r>
    </w:p>
    <w:bookmarkEnd w:id="10"/>
    <w:bookmarkStart w:id="11" w:name="Xff98b21cffd444ccd8aad88c10f22c098dc6b92"/>
    <w:p>
      <w:pPr>
        <w:pStyle w:val="Heading2"/>
      </w:pPr>
      <w:r>
        <w:t xml:space="preserve">1. Where the stock is</w:t>
      </w:r>
    </w:p>
    <w:p>
      <w:pPr>
        <w:pStyle w:val="Compact"/>
        <w:numPr>
          <w:ilvl w:val="0"/>
          <w:numId w:val="1001"/>
        </w:numPr>
      </w:pPr>
      <w:r>
        <w:t xml:space="preserve">WM closed</w:t>
      </w:r>
      <w:r>
        <w:t xml:space="preserve"> </w:t>
      </w:r>
      <w:r>
        <w:rPr>
          <w:b/>
          <w:bCs/>
        </w:rPr>
        <w:t xml:space="preserve">~$237.94</w:t>
      </w:r>
      <w:r>
        <w:t xml:space="preserve"> </w:t>
      </w:r>
      <w:r>
        <w:t xml:space="preserve">on 7/27, up</w:t>
      </w:r>
      <w:r>
        <w:t xml:space="preserve"> </w:t>
      </w:r>
      <w:r>
        <w:rPr>
          <w:b/>
          <w:bCs/>
        </w:rPr>
        <w:t xml:space="preserve">~8.9% YTD</w:t>
      </w:r>
      <w:r>
        <w:t xml:space="preserve"> </w:t>
      </w:r>
      <w:r>
        <w:t xml:space="preserve">and near 52-week highs, comfortably outpacing closest peer</w:t>
      </w:r>
      <w:r>
        <w:t xml:space="preserve"> </w:t>
      </w:r>
      <w:r>
        <w:rPr>
          <w:b/>
          <w:bCs/>
        </w:rPr>
        <w:t xml:space="preserve">Republic Services (RSG, +3.2% YTD)</w:t>
      </w:r>
      <w:r>
        <w:t xml:space="preserve">. The stock has re-rated on the "harvest" thesis and a nearly-30% projected FCF growth year.</w:t>
      </w:r>
    </w:p>
    <w:p>
      <w:pPr>
        <w:pStyle w:val="Compact"/>
        <w:numPr>
          <w:ilvl w:val="0"/>
          <w:numId w:val="1001"/>
        </w:numPr>
      </w:pPr>
      <w:r>
        <w:t xml:space="preserve">Because expectations are elevated and the multiple is full, this is a quarter where</w:t>
      </w:r>
      <w:r>
        <w:t xml:space="preserve"> </w:t>
      </w:r>
      <w:r>
        <w:rPr>
          <w:b/>
          <w:bCs/>
        </w:rPr>
        <w:t xml:space="preserve">beating isn't enough</w:t>
      </w:r>
      <w:r>
        <w:t xml:space="preserve"> </w:t>
      </w:r>
      <w:r>
        <w:t xml:space="preserve">— the market will focus on the guidance raise/narrow and on volume momentum into 2H.</w:t>
      </w:r>
    </w:p>
    <w:p>
      <w:r>
        <w:pict>
          <v:rect style="width:0;height:1.5pt" o:hralign="center" o:hrstd="t" o:hr="t"/>
        </w:pict>
      </w:r>
    </w:p>
    <w:bookmarkEnd w:id="11"/>
    <w:bookmarkStart w:id="12" w:name="X8f8f2ea0f6838fbeea06fc0c71f80ab733429fe"/>
    <w:p>
      <w:pPr>
        <w:pStyle w:val="Heading2"/>
      </w:pPr>
      <w:r>
        <w:t xml:space="preserve">2. The comp problem: wildfires and volume optics</w:t>
      </w:r>
    </w:p>
    <w:p>
      <w:pPr>
        <w:pStyle w:val="FirstParagraph"/>
      </w:pPr>
      <w:r>
        <w:t xml:space="preserve">This is the single most important context for reading the headline.</w:t>
      </w:r>
    </w:p>
    <w:p>
      <w:pPr>
        <w:pStyle w:val="Compact"/>
        <w:numPr>
          <w:ilvl w:val="0"/>
          <w:numId w:val="1002"/>
        </w:numPr>
      </w:pPr>
      <w:r>
        <w:t xml:space="preserve">Q2 2025 was inflated by</w:t>
      </w:r>
      <w:r>
        <w:t xml:space="preserve"> </w:t>
      </w:r>
      <w:r>
        <w:rPr>
          <w:b/>
          <w:bCs/>
        </w:rPr>
        <w:t xml:space="preserve">~$85M of Southern California wildfire cleanup revenue with high EBITDA flow-through</w:t>
      </w:r>
      <w:r>
        <w:t xml:space="preserve">. That does not repeat, creating a landfill/special-waste volume and margin</w:t>
      </w:r>
      <w:r>
        <w:t xml:space="preserve"> </w:t>
      </w:r>
      <w:r>
        <w:rPr>
          <w:b/>
          <w:bCs/>
        </w:rPr>
        <w:t xml:space="preserve">headwind concentrated in Q2</w:t>
      </w:r>
      <w:r>
        <w:t xml:space="preserve"> </w:t>
      </w:r>
      <w:r>
        <w:t xml:space="preserve">(it largely anniversaries by August).</w:t>
      </w:r>
    </w:p>
    <w:p>
      <w:pPr>
        <w:pStyle w:val="Compact"/>
        <w:numPr>
          <w:ilvl w:val="0"/>
          <w:numId w:val="1002"/>
        </w:numPr>
      </w:pPr>
      <w:r>
        <w:t xml:space="preserve">In Q1 2026, reported collection &amp; disposal volume was</w:t>
      </w:r>
      <w:r>
        <w:t xml:space="preserve"> </w:t>
      </w:r>
      <w:r>
        <w:rPr>
          <w:b/>
          <w:bCs/>
        </w:rPr>
        <w:t xml:space="preserve">-1.5%</w:t>
      </w:r>
      <w:r>
        <w:t xml:space="preserve">, but management stressed that ~half the shortfall was</w:t>
      </w:r>
      <w:r>
        <w:t xml:space="preserve"> </w:t>
      </w:r>
      <w:r>
        <w:rPr>
          <w:b/>
          <w:bCs/>
        </w:rPr>
        <w:t xml:space="preserve">severe winter weather</w:t>
      </w:r>
      <w:r>
        <w:t xml:space="preserve"> </w:t>
      </w:r>
      <w:r>
        <w:t xml:space="preserve">(10-day facility shutdowns on the East Coast). Underlying signals were better:</w:t>
      </w:r>
      <w:r>
        <w:t xml:space="preserve"> </w:t>
      </w:r>
      <w:r>
        <w:rPr>
          <w:b/>
          <w:bCs/>
        </w:rPr>
        <w:t xml:space="preserve">MSW volume +2.7%</w:t>
      </w:r>
      <w:r>
        <w:t xml:space="preserve"> </w:t>
      </w:r>
      <w:r>
        <w:t xml:space="preserve">(and reportedly ~4%+ in late April),</w:t>
      </w:r>
      <w:r>
        <w:t xml:space="preserve"> </w:t>
      </w:r>
      <w:r>
        <w:rPr>
          <w:b/>
          <w:bCs/>
        </w:rPr>
        <w:t xml:space="preserve">special waste +6.7% ex-wildfire</w:t>
      </w:r>
      <w:r>
        <w:t xml:space="preserve">, and</w:t>
      </w:r>
      <w:r>
        <w:t xml:space="preserve"> </w:t>
      </w:r>
      <w:r>
        <w:rPr>
          <w:b/>
          <w:bCs/>
        </w:rPr>
        <w:t xml:space="preserve">industrial/roll-off finally turning positive</w:t>
      </w:r>
      <w:r>
        <w:t xml:space="preserve"> </w:t>
      </w:r>
      <w:r>
        <w:t xml:space="preserve">after ~6–7 negative quarters.</w:t>
      </w:r>
    </w:p>
    <w:p>
      <w:pPr>
        <w:pStyle w:val="FirstParagraph"/>
      </w:pPr>
      <w:r>
        <w:rPr>
          <w:b/>
          <w:bCs/>
        </w:rPr>
        <w:t xml:space="preserve">What to watch:</w:t>
      </w:r>
      <w:r>
        <w:t xml:space="preserve"> </w:t>
      </w:r>
      <w:r>
        <w:t xml:space="preserve">Don't be spooked by an optically soft landfill/special-waste volume line — parse the</w:t>
      </w:r>
      <w:r>
        <w:t xml:space="preserve"> </w:t>
      </w:r>
      <w:r>
        <w:rPr>
          <w:b/>
          <w:bCs/>
        </w:rPr>
        <w:t xml:space="preserve">ex-wildfire</w:t>
      </w:r>
      <w:r>
        <w:t xml:space="preserve"> </w:t>
      </w:r>
      <w:r>
        <w:t xml:space="preserve">trend and the MSW/industrial trajectory. Management flagged these as leading indicators of underlying customer optimism. A clean beat on ex-wildfire special waste would be a strong macro tell.</w:t>
      </w:r>
    </w:p>
    <w:p>
      <w:r>
        <w:pict>
          <v:rect style="width:0;height:1.5pt" o:hralign="center" o:hrstd="t" o:hr="t"/>
        </w:pict>
      </w:r>
    </w:p>
    <w:bookmarkEnd w:id="12"/>
    <w:bookmarkStart w:id="13" w:name="Xb874a951601e2a4c5f3951e8c4e3a2c8bf26133"/>
    <w:p>
      <w:pPr>
        <w:pStyle w:val="Heading2"/>
      </w:pPr>
      <w:r>
        <w:t xml:space="preserve">3. Pricing and price/cost spread — the core margin engine</w:t>
      </w:r>
    </w:p>
    <w:p>
      <w:pPr>
        <w:pStyle w:val="Compact"/>
        <w:numPr>
          <w:ilvl w:val="0"/>
          <w:numId w:val="1003"/>
        </w:numPr>
      </w:pPr>
      <w:r>
        <w:t xml:space="preserve">Q1 core price was</w:t>
      </w:r>
      <w:r>
        <w:t xml:space="preserve"> </w:t>
      </w:r>
      <w:r>
        <w:rPr>
          <w:b/>
          <w:bCs/>
        </w:rPr>
        <w:t xml:space="preserve">6.3%</w:t>
      </w:r>
      <w:r>
        <w:t xml:space="preserve"> </w:t>
      </w:r>
      <w:r>
        <w:t xml:space="preserve">and C&amp;D yield</w:t>
      </w:r>
      <w:r>
        <w:t xml:space="preserve"> </w:t>
      </w:r>
      <w:r>
        <w:rPr>
          <w:b/>
          <w:bCs/>
        </w:rPr>
        <w:t xml:space="preserve">3.9%</w:t>
      </w:r>
      <w:r>
        <w:t xml:space="preserve">, running</w:t>
      </w:r>
      <w:r>
        <w:t xml:space="preserve"> </w:t>
      </w:r>
      <w:r>
        <w:rPr>
          <w:b/>
          <w:bCs/>
        </w:rPr>
        <w:t xml:space="preserve">ahead</w:t>
      </w:r>
      <w:r>
        <w:t xml:space="preserve"> </w:t>
      </w:r>
      <w:r>
        <w:t xml:space="preserve">of the full-year guide (core price 5.4–5.8%, yield 3.2–3.6%). Residential (yield 6.3%) and MSW (yield 6.9%) surprised to the upside.</w:t>
      </w:r>
    </w:p>
    <w:p>
      <w:pPr>
        <w:pStyle w:val="Compact"/>
        <w:numPr>
          <w:ilvl w:val="0"/>
          <w:numId w:val="1003"/>
        </w:numPr>
      </w:pPr>
      <w:r>
        <w:t xml:space="preserve">Price/cost spread was running</w:t>
      </w:r>
      <w:r>
        <w:t xml:space="preserve"> </w:t>
      </w:r>
      <w:r>
        <w:rPr>
          <w:b/>
          <w:bCs/>
        </w:rPr>
        <w:t xml:space="preserve">&gt;200 bps</w:t>
      </w:r>
      <w:r>
        <w:t xml:space="preserve"> </w:t>
      </w:r>
      <w:r>
        <w:t xml:space="preserve">vs. the 150–200 bps target, with inflation ~3–3.5% (labor closer to 4%).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CPI dynamic to watch:</w:t>
      </w:r>
      <w:r>
        <w:t xml:space="preserve"> </w:t>
      </w:r>
      <w:r>
        <w:t xml:space="preserve">~40–45% of revenue is index-linked with a 1–2 quarter lag, so rising CPI should start flowing into resets in 2H — a potential 2027 tailwind. Any commentary on price durability into a firmer inflation backdrop matters.</w:t>
      </w:r>
    </w:p>
    <w:p>
      <w:pPr>
        <w:pStyle w:val="FirstParagraph"/>
      </w:pPr>
      <w:r>
        <w:rPr>
          <w:b/>
          <w:bCs/>
        </w:rPr>
        <w:t xml:space="preserve">What to watch:</w:t>
      </w:r>
      <w:r>
        <w:t xml:space="preserve"> </w:t>
      </w:r>
      <w:r>
        <w:t xml:space="preserve">Whether yield/core price stays above the guided range, and whether the spread holds despite the wildfire-driven loss of high-margin landfill volume.</w:t>
      </w:r>
    </w:p>
    <w:p>
      <w:r>
        <w:pict>
          <v:rect style="width:0;height:1.5pt" o:hralign="center" o:hrstd="t" o:hr="t"/>
        </w:pict>
      </w:r>
    </w:p>
    <w:bookmarkEnd w:id="13"/>
    <w:bookmarkStart w:id="14" w:name="X5b100ddc70340580a79e06d88d21ada5e3a64d8"/>
    <w:p>
      <w:pPr>
        <w:pStyle w:val="Heading2"/>
      </w:pPr>
      <w:r>
        <w:t xml:space="preserve">4. Margins — mind the accretion reclassification</w:t>
      </w:r>
    </w:p>
    <w:p>
      <w:pPr>
        <w:pStyle w:val="Compact"/>
        <w:numPr>
          <w:ilvl w:val="0"/>
          <w:numId w:val="1004"/>
        </w:numPr>
      </w:pPr>
      <w:r>
        <w:t xml:space="preserve">Beginning 2026, WM</w:t>
      </w:r>
      <w:r>
        <w:t xml:space="preserve"> </w:t>
      </w:r>
      <w:r>
        <w:rPr>
          <w:b/>
          <w:bCs/>
        </w:rPr>
        <w:t xml:space="preserve">moved landfill accretion (~$36M/qtr) out of operating expense/EBITDA into DD&amp;A</w:t>
      </w:r>
      <w:r>
        <w:t xml:space="preserve">, which optically lifts EBITDA margin (~50–60 bps) versus the old methodology. All comparisons are "on a comparable basis" — recast the prior-year figures accordingly.</w:t>
      </w:r>
    </w:p>
    <w:p>
      <w:pPr>
        <w:pStyle w:val="Compact"/>
        <w:numPr>
          <w:ilvl w:val="0"/>
          <w:numId w:val="1004"/>
        </w:numPr>
      </w:pPr>
      <w:r>
        <w:t xml:space="preserve">Q1 2026 delivered</w:t>
      </w:r>
      <w:r>
        <w:t xml:space="preserve"> </w:t>
      </w:r>
      <w:r>
        <w:rPr>
          <w:b/>
          <w:bCs/>
        </w:rPr>
        <w:t xml:space="preserve">29.8% adjusted EBITDA margin</w:t>
      </w:r>
      <w:r>
        <w:t xml:space="preserve"> </w:t>
      </w:r>
      <w:r>
        <w:t xml:space="preserve">(+70 bps comparable) with opex</w:t>
      </w:r>
      <w:r>
        <w:t xml:space="preserve"> </w:t>
      </w:r>
      <w:r>
        <w:rPr>
          <w:b/>
          <w:bCs/>
        </w:rPr>
        <w:t xml:space="preserve">&lt;60% of revenue for a fifth straight quarter</w:t>
      </w:r>
      <w:r>
        <w:t xml:space="preserve">. Collection &amp; disposal margin expanded ~110 bps adjusted.</w:t>
      </w:r>
    </w:p>
    <w:p>
      <w:pPr>
        <w:pStyle w:val="Compact"/>
        <w:numPr>
          <w:ilvl w:val="0"/>
          <w:numId w:val="1004"/>
        </w:numPr>
      </w:pPr>
      <w:r>
        <w:t xml:space="preserve">CFO guided Q2 to a</w:t>
      </w:r>
      <w:r>
        <w:t xml:space="preserve"> </w:t>
      </w:r>
      <w:r>
        <w:rPr>
          <w:b/>
          <w:bCs/>
        </w:rPr>
        <w:t xml:space="preserve">tough comp</w:t>
      </w:r>
      <w:r>
        <w:t xml:space="preserve"> </w:t>
      </w:r>
      <w:r>
        <w:t xml:space="preserve">on the wildfire flow-through but still expects</w:t>
      </w:r>
      <w:r>
        <w:t xml:space="preserve"> </w:t>
      </w:r>
      <w:r>
        <w:rPr>
          <w:b/>
          <w:bCs/>
        </w:rPr>
        <w:t xml:space="preserve">year-over-year margin expansion</w:t>
      </w:r>
      <w:r>
        <w:t xml:space="preserve">, with the 2H margin slope resembling 2025.</w:t>
      </w:r>
    </w:p>
    <w:p>
      <w:pPr>
        <w:pStyle w:val="FirstParagraph"/>
      </w:pPr>
      <w:r>
        <w:rPr>
          <w:b/>
          <w:bCs/>
        </w:rPr>
        <w:t xml:space="preserve">What to watch:</w:t>
      </w:r>
      <w:r>
        <w:t xml:space="preserve"> </w:t>
      </w:r>
      <w:r>
        <w:t xml:space="preserve">Q2 2025 adjusted margin was</w:t>
      </w:r>
      <w:r>
        <w:t xml:space="preserve"> </w:t>
      </w:r>
      <w:r>
        <w:rPr>
          <w:b/>
          <w:bCs/>
        </w:rPr>
        <w:t xml:space="preserve">29.9%</w:t>
      </w:r>
      <w:r>
        <w:t xml:space="preserve">; on the new (accretion-excluded) basis plus underlying expansion, a print comfortably</w:t>
      </w:r>
      <w:r>
        <w:t xml:space="preserve"> </w:t>
      </w:r>
      <w:r>
        <w:rPr>
          <w:b/>
          <w:bCs/>
        </w:rPr>
        <w:t xml:space="preserve">&gt;31%</w:t>
      </w:r>
      <w:r>
        <w:t xml:space="preserve"> </w:t>
      </w:r>
      <w:r>
        <w:t xml:space="preserve">would confirm the "structurally higher margin" narrative. Also watch</w:t>
      </w:r>
      <w:r>
        <w:t xml:space="preserve"> </w:t>
      </w:r>
      <w:r>
        <w:rPr>
          <w:b/>
          <w:bCs/>
        </w:rPr>
        <w:t xml:space="preserve">corporate/other expense</w:t>
      </w:r>
      <w:r>
        <w:t xml:space="preserve"> </w:t>
      </w:r>
      <w:r>
        <w:t xml:space="preserve">— Q1 was a deliberately heavy tech-investment/incentive-comp comp; management said that level is roughly the run-rate for the year.</w:t>
      </w:r>
    </w:p>
    <w:p>
      <w:r>
        <w:pict>
          <v:rect style="width:0;height:1.5pt" o:hralign="center" o:hrstd="t" o:hr="t"/>
        </w:pict>
      </w:r>
    </w:p>
    <w:bookmarkEnd w:id="14"/>
    <w:bookmarkStart w:id="15" w:name="X46fd3a51301b2bdfa5e62dc327842c858c89cad"/>
    <w:p>
      <w:pPr>
        <w:pStyle w:val="Heading2"/>
      </w:pPr>
      <w:r>
        <w:t xml:space="preserve">5. Healthcare Solutions (Stericycle) — the inflection quarter?</w:t>
      </w:r>
    </w:p>
    <w:p>
      <w:pPr>
        <w:pStyle w:val="FirstParagraph"/>
      </w:pPr>
      <w:r>
        <w:t xml:space="preserve">This is the biggest swing factor on the story's credibility.</w:t>
      </w:r>
    </w:p>
    <w:p>
      <w:pPr>
        <w:pStyle w:val="Compact"/>
        <w:numPr>
          <w:ilvl w:val="0"/>
          <w:numId w:val="1005"/>
        </w:numPr>
      </w:pPr>
      <w:r>
        <w:t xml:space="preserve">Q1 delivered</w:t>
      </w:r>
      <w:r>
        <w:t xml:space="preserve"> </w:t>
      </w:r>
      <w:r>
        <w:rPr>
          <w:b/>
          <w:bCs/>
        </w:rPr>
        <w:t xml:space="preserve">~12% adjusted EBITDA growth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+200 bps margin</w:t>
      </w:r>
      <w:r>
        <w:t xml:space="preserve"> </w:t>
      </w:r>
      <w:r>
        <w:t xml:space="preserve">on SG&amp;A synergies, despite revenue pressure from prior-year customer losses (only 1 of 3 expected hospital losses actually left).</w:t>
      </w:r>
    </w:p>
    <w:p>
      <w:pPr>
        <w:pStyle w:val="Compact"/>
        <w:numPr>
          <w:ilvl w:val="0"/>
          <w:numId w:val="1005"/>
        </w:numPr>
      </w:pPr>
      <w:r>
        <w:t xml:space="preserve">Management explicitly guided to a</w:t>
      </w:r>
      <w:r>
        <w:t xml:space="preserve"> </w:t>
      </w:r>
      <w:r>
        <w:rPr>
          <w:b/>
          <w:bCs/>
        </w:rPr>
        <w:t xml:space="preserve">revenue-growth inflection in 2H 2026</w:t>
      </w:r>
      <w:r>
        <w:t xml:space="preserve"> </w:t>
      </w:r>
      <w:r>
        <w:t xml:space="preserve">as the ERP stabilizes, customer credits reverse (DSO down 14 days, past-due receivables down two-thirds), and cross-selling ramps (~$27M annualized EBITDA benefit cited).</w:t>
      </w:r>
    </w:p>
    <w:p>
      <w:pPr>
        <w:pStyle w:val="Compact"/>
        <w:numPr>
          <w:ilvl w:val="0"/>
          <w:numId w:val="1005"/>
        </w:numPr>
      </w:pPr>
      <w:r>
        <w:t xml:space="preserve">Synergy target of</w:t>
      </w:r>
      <w:r>
        <w:t xml:space="preserve"> </w:t>
      </w:r>
      <m:oMath>
        <m:r>
          <m:t>300</m:t>
        </m:r>
        <m:r>
          <m:t>M</m:t>
        </m:r>
        <m:r>
          <m:t>r</m:t>
        </m:r>
        <m:r>
          <m:t>u</m:t>
        </m:r>
        <m:r>
          <m:t>n</m:t>
        </m:r>
        <m:r>
          <m:rPr>
            <m:sty m:val="p"/>
          </m:rPr>
          <m:t>−</m:t>
        </m:r>
        <m:r>
          <m:t>r</m:t>
        </m:r>
        <m:r>
          <m:t>a</m:t>
        </m:r>
        <m:r>
          <m:t>t</m:t>
        </m:r>
        <m:r>
          <m:t>e</m:t>
        </m:r>
        <m:r>
          <m:t>b</m:t>
        </m:r>
        <m:r>
          <m:t>y</m:t>
        </m:r>
        <m:r>
          <m:t>e</m:t>
        </m:r>
        <m:r>
          <m:t>n</m:t>
        </m:r>
        <m:r>
          <m:t>d</m:t>
        </m:r>
        <m:r>
          <m:rPr>
            <m:sty m:val="p"/>
          </m:rPr>
          <m:t>−</m:t>
        </m:r>
        <m:r>
          <m:t>2027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i</m:t>
        </m:r>
        <m:r>
          <m:t>s</m:t>
        </m:r>
        <m:r>
          <m:t>o</m:t>
        </m:r>
        <m:r>
          <m:t>n</m:t>
        </m:r>
        <m:r>
          <m:t>t</m:t>
        </m:r>
        <m:r>
          <m:t>r</m:t>
        </m:r>
        <m:r>
          <m:t>a</m:t>
        </m:r>
        <m:r>
          <m:t>c</m:t>
        </m:r>
        <m:r>
          <m:t>k</m:t>
        </m:r>
        <m:r>
          <m:rPr>
            <m:sty m:val="p"/>
          </m:rPr>
          <m:t>,</m:t>
        </m:r>
        <m:r>
          <m:t>w</m:t>
        </m:r>
        <m:r>
          <m:t>i</m:t>
        </m:r>
        <m:r>
          <m:t>t</m:t>
        </m:r>
        <m:r>
          <m:t>h</m:t>
        </m:r>
        <m:r>
          <m:t>m</m:t>
        </m:r>
        <m:r>
          <m:t>a</m:t>
        </m:r>
        <m:r>
          <m:t>n</m:t>
        </m:r>
        <m:r>
          <m:t>a</m:t>
        </m:r>
        <m:r>
          <m:t>g</m:t>
        </m:r>
        <m:r>
          <m:t>e</m:t>
        </m:r>
        <m:r>
          <m:t>m</m:t>
        </m:r>
        <m:r>
          <m:t>e</m:t>
        </m:r>
        <m:r>
          <m:t>n</m:t>
        </m:r>
        <m:r>
          <m:t>t</m:t>
        </m:r>
        <m:r>
          <m:t>h</m:t>
        </m:r>
        <m:r>
          <m:t>i</m:t>
        </m:r>
        <m:r>
          <m:t>n</m:t>
        </m:r>
        <m:r>
          <m:t>t</m:t>
        </m:r>
        <m:r>
          <m:t>i</m:t>
        </m:r>
        <m:r>
          <m:t>n</m:t>
        </m:r>
        <m:r>
          <m:t>g</m:t>
        </m:r>
        <m:r>
          <m:t>a</m:t>
        </m:r>
        <m:r>
          <m:t>t</m:t>
        </m:r>
        <m:r>
          <m:t>p</m:t>
        </m:r>
        <m:r>
          <m:t>o</m:t>
        </m:r>
        <m:r>
          <m:t>s</m:t>
        </m:r>
        <m:r>
          <m:t>s</m:t>
        </m:r>
        <m:r>
          <m:t>i</m:t>
        </m:r>
        <m:r>
          <m:t>b</m:t>
        </m:r>
        <m:r>
          <m:t>l</m:t>
        </m:r>
        <m:r>
          <m:t>e</m:t>
        </m:r>
        <m:r>
          <m:t>u</m:t>
        </m:r>
        <m:r>
          <m:t>p</m:t>
        </m:r>
        <m:r>
          <m:t>s</m:t>
        </m:r>
        <m:r>
          <m:t>i</m:t>
        </m:r>
        <m:r>
          <m:t>d</m:t>
        </m:r>
        <m:r>
          <m:t>e</m:t>
        </m:r>
        <m:r>
          <m:t>t</m:t>
        </m:r>
        <m:r>
          <m:t>o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 </m:t>
        </m:r>
      </m:oMath>
      <w:r>
        <w:rPr>
          <w:b/>
          <w:bCs/>
        </w:rPr>
        <w:t xml:space="preserve">325M</w:t>
      </w:r>
      <w:r>
        <w:t xml:space="preserve">.</w:t>
      </w:r>
    </w:p>
    <w:p>
      <w:pPr>
        <w:pStyle w:val="FirstParagraph"/>
      </w:pPr>
      <w:r>
        <w:rPr>
          <w:b/>
          <w:bCs/>
        </w:rPr>
        <w:t xml:space="preserve">What to watch:</w:t>
      </w:r>
      <w:r>
        <w:t xml:space="preserve"> </w:t>
      </w:r>
      <w:r>
        <w:t xml:space="preserve">Early evidence of the promised revenue inflection (or at least stabilization), Healthcare margin (guided toward the ~17%+ adjusted zone and rising), and any raised synergy target. A miss here would dent the whole "accretive medical-waste platform" thesis.</w:t>
      </w:r>
    </w:p>
    <w:p>
      <w:r>
        <w:pict>
          <v:rect style="width:0;height:1.5pt" o:hralign="center" o:hrstd="t" o:hr="t"/>
        </w:pict>
      </w:r>
    </w:p>
    <w:bookmarkEnd w:id="15"/>
    <w:bookmarkStart w:id="16" w:name="Xae9f2867129f7d4b9ce5263a114b68eaeee81c8"/>
    <w:p>
      <w:pPr>
        <w:pStyle w:val="Heading2"/>
      </w:pPr>
      <w:r>
        <w:t xml:space="preserve">6. Sustainability ramp — RNG and recycling</w:t>
      </w:r>
    </w:p>
    <w:p>
      <w:pPr>
        <w:pStyle w:val="Compact"/>
        <w:numPr>
          <w:ilvl w:val="0"/>
          <w:numId w:val="1006"/>
        </w:numPr>
      </w:pPr>
      <w:r>
        <w:t xml:space="preserve">Renewable energy EBITDA</w:t>
      </w:r>
      <w:r>
        <w:t xml:space="preserve"> </w:t>
      </w:r>
      <w:r>
        <w:rPr>
          <w:b/>
          <w:bCs/>
        </w:rPr>
        <w:t xml:space="preserve">more than doubled</w:t>
      </w:r>
      <w:r>
        <w:t xml:space="preserve"> </w:t>
      </w:r>
      <w:r>
        <w:t xml:space="preserve">YoY in Q1 on 7 new RNG plants;</w:t>
      </w:r>
      <w:r>
        <w:t xml:space="preserve"> </w:t>
      </w:r>
      <w:r>
        <w:rPr>
          <w:b/>
          <w:bCs/>
        </w:rPr>
        <w:t xml:space="preserve">3 more expected online in Q2</w:t>
      </w:r>
      <w:r>
        <w:t xml:space="preserve">, rest in 2H. 80% of 2026 RNG volume is contracted (up from 60% at guidance).</w:t>
      </w:r>
    </w:p>
    <w:p>
      <w:pPr>
        <w:pStyle w:val="Compact"/>
        <w:numPr>
          <w:ilvl w:val="0"/>
          <w:numId w:val="1006"/>
        </w:numPr>
      </w:pPr>
      <w:r>
        <w:t xml:space="preserve">Recycling EBITDA</w:t>
      </w:r>
      <w:r>
        <w:t xml:space="preserve"> </w:t>
      </w:r>
      <w:r>
        <w:rPr>
          <w:b/>
          <w:bCs/>
        </w:rPr>
        <w:t xml:space="preserve">+18% in Q1</w:t>
      </w:r>
      <w:r>
        <w:t xml:space="preserve"> </w:t>
      </w:r>
      <w:r>
        <w:t xml:space="preserve">despite single-stream commodity prices down 27% YoY — proof that automation has structurally de-risked the segment. FY assumption is **~</w:t>
      </w:r>
      <m:oMath>
        <m:r>
          <m:t>70</m:t>
        </m:r>
        <m:r>
          <m:rPr>
            <m:sty m:val="p"/>
          </m:rPr>
          <m:t>/</m:t>
        </m:r>
        <m:r>
          <m:t>t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(</m:t>
        </m:r>
        <m:r>
          <m:t>M</m:t>
        </m:r>
        <m:r>
          <m:t>a</m:t>
        </m:r>
        <m:r>
          <m:t>r</m:t>
        </m:r>
        <m:r>
          <m:t>c</m:t>
        </m:r>
        <m:r>
          <m:t>h</m:t>
        </m:r>
        <m:r>
          <m:t>e</m:t>
        </m:r>
        <m:r>
          <m:t>x</m:t>
        </m:r>
        <m:r>
          <m:t>i</m:t>
        </m:r>
        <m:r>
          <m:t>t</m:t>
        </m:r>
        <m:r>
          <m:t>e</m:t>
        </m:r>
        <m:r>
          <m:t>d</m:t>
        </m:r>
        <m:r>
          <m:t>a</m:t>
        </m:r>
        <m:r>
          <m:t>t</m:t>
        </m:r>
        <m:r>
          <m:t> </m:t>
        </m:r>
      </m:oMath>
      <w:r>
        <w:t xml:space="preserve">69).</w:t>
      </w:r>
    </w:p>
    <w:p>
      <w:pPr>
        <w:pStyle w:val="Compact"/>
        <w:numPr>
          <w:ilvl w:val="0"/>
          <w:numId w:val="1006"/>
        </w:numPr>
      </w:pPr>
      <w:r>
        <w:t xml:space="preserve">Combined Recycling + Renewable Energy + landfill-gas royalty EBITDA is guided to grow</w:t>
      </w:r>
      <w:r>
        <w:t xml:space="preserve"> </w:t>
      </w:r>
      <m:oMath>
        <m:r>
          <m:t>235</m:t>
        </m:r>
        <m:r>
          <m:rPr>
            <m:sty m:val="p"/>
          </m:rPr>
          <m:t>–</m:t>
        </m:r>
        <m:r>
          <m:t>255</m:t>
        </m:r>
        <m:r>
          <m:t>M</m:t>
        </m:r>
        <m:r>
          <m:t>i</m:t>
        </m:r>
        <m:r>
          <m:t>n</m:t>
        </m:r>
        <m:r>
          <m:t>2026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o</m:t>
        </m:r>
        <m:r>
          <m:t>n</m:t>
        </m:r>
        <m:r>
          <m:t>a</m:t>
        </m:r>
        <m:r>
          <m:t>p</m:t>
        </m:r>
        <m:r>
          <m:t>a</m:t>
        </m:r>
        <m:r>
          <m:t>t</m:t>
        </m:r>
        <m:r>
          <m:t>h</m:t>
        </m:r>
        <m:r>
          <m:t>t</m:t>
        </m:r>
        <m:r>
          <m:t>o</m:t>
        </m:r>
        <m:r>
          <m:t>w</m:t>
        </m:r>
        <m:r>
          <m:t>a</m:t>
        </m:r>
        <m:r>
          <m:t>r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 </m:t>
        </m:r>
      </m:oMath>
      <w:r>
        <w:rPr>
          <w:b/>
          <w:bCs/>
        </w:rPr>
        <w:t xml:space="preserve">1B by 2027</w:t>
      </w:r>
      <w:r>
        <w:t xml:space="preserve">. RIN pricing (~$2.40) has held above WM's $2.00 investment thesis after the EPA's RVO.</w:t>
      </w:r>
    </w:p>
    <w:p>
      <w:pPr>
        <w:pStyle w:val="FirstParagraph"/>
      </w:pPr>
      <w:r>
        <w:rPr>
          <w:b/>
          <w:bCs/>
        </w:rPr>
        <w:t xml:space="preserve">What to watch:</w:t>
      </w:r>
      <w:r>
        <w:t xml:space="preserve"> </w:t>
      </w:r>
      <w:r>
        <w:t xml:space="preserve">Confirmation of the $240–250M sustainability EBITDA contribution, RNG plant commissioning timing (management flagged some</w:t>
      </w:r>
      <w:r>
        <w:t xml:space="preserve"> </w:t>
      </w:r>
      <w:r>
        <w:rPr>
          <w:b/>
          <w:bCs/>
        </w:rPr>
        <w:t xml:space="preserve">utility interconnect delays</w:t>
      </w:r>
      <w:r>
        <w:t xml:space="preserve">), and updated commodity/RIN price assumptions.</w:t>
      </w:r>
    </w:p>
    <w:p>
      <w:r>
        <w:pict>
          <v:rect style="width:0;height:1.5pt" o:hralign="center" o:hrstd="t" o:hr="t"/>
        </w:pict>
      </w:r>
    </w:p>
    <w:bookmarkEnd w:id="16"/>
    <w:bookmarkStart w:id="17" w:name="X9972c8c63e22fa1dfad99cedf688d2e96647049"/>
    <w:p>
      <w:pPr>
        <w:pStyle w:val="Heading2"/>
      </w:pPr>
      <w:r>
        <w:t xml:space="preserve">7. Cash flow, capital returns, and the balance sheet</w:t>
      </w:r>
    </w:p>
    <w:p>
      <w:pPr>
        <w:pStyle w:val="Compact"/>
        <w:numPr>
          <w:ilvl w:val="0"/>
          <w:numId w:val="1007"/>
        </w:numPr>
      </w:pPr>
      <w:r>
        <w:t xml:space="preserve">Q1 FCF</w:t>
      </w:r>
      <w:r>
        <w:t xml:space="preserve"> </w:t>
      </w:r>
      <w:r>
        <w:rPr>
          <w:b/>
          <w:bCs/>
        </w:rPr>
        <w:t xml:space="preserve">nearly doubled to</w:t>
      </w:r>
      <w:r>
        <w:rPr>
          <w:b/>
          <w:bCs/>
        </w:rPr>
        <w:t xml:space="preserve"> </w:t>
      </w:r>
      <m:oMath>
        <m:r>
          <m:t>920</m:t>
        </m:r>
        <m:r>
          <m:t>M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;</m:t>
        </m:r>
        <m:r>
          <m:t>F</m:t>
        </m:r>
        <m:r>
          <m:t>Y</m:t>
        </m:r>
        <m:r>
          <m:t>g</m:t>
        </m:r>
        <m:r>
          <m:t>u</m:t>
        </m:r>
        <m:r>
          <m:t>i</m:t>
        </m:r>
        <m:r>
          <m:t>d</m:t>
        </m:r>
        <m:r>
          <m:t>e</m:t>
        </m:r>
        <m:r>
          <m:t>i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3,750–3,850M (+29.4%)</w:t>
      </w:r>
      <w:r>
        <w:t xml:space="preserve"> </w:t>
      </w:r>
      <w:r>
        <w:t xml:space="preserve">as sustainability capex falls to ~</w:t>
      </w:r>
      <m:oMath>
        <m:r>
          <m:t>200</m:t>
        </m:r>
        <m:r>
          <m:t>M</m:t>
        </m:r>
        <m:r>
          <m:rPr>
            <m:sty m:val="p"/>
          </m:rPr>
          <m:t>(</m:t>
        </m:r>
        <m:r>
          <m:t>d</m:t>
        </m:r>
        <m:r>
          <m:t>o</m:t>
        </m:r>
        <m:r>
          <m:t>w</m:t>
        </m:r>
        <m:r>
          <m:t>n</m:t>
        </m:r>
        <m:r>
          <m:rPr>
            <m:sty m:val="p"/>
          </m:rPr>
          <m:t>&gt;</m:t>
        </m:r>
      </m:oMath>
      <w:r>
        <w:t xml:space="preserve">400M).</w:t>
      </w:r>
    </w:p>
    <w:p>
      <w:pPr>
        <w:pStyle w:val="Compact"/>
        <w:numPr>
          <w:ilvl w:val="0"/>
          <w:numId w:val="1007"/>
        </w:numPr>
      </w:pPr>
      <w:r>
        <w:t xml:space="preserve">Capital return plan:</w:t>
      </w:r>
      <w:r>
        <w:t xml:space="preserve"> </w:t>
      </w:r>
      <w:r>
        <w:rPr>
          <w:b/>
          <w:bCs/>
        </w:rPr>
        <w:t xml:space="preserve">~</w:t>
      </w:r>
      <m:oMath>
        <m:r>
          <m:t>3.5</m:t>
        </m:r>
        <m:r>
          <m:t>B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t</m:t>
        </m:r>
        <m:r>
          <m:t>o</m:t>
        </m:r>
        <m:r>
          <m:t>t</m:t>
        </m:r>
        <m:r>
          <m:t>a</m:t>
        </m:r>
        <m:r>
          <m:t>l</m:t>
        </m:r>
        <m:r>
          <m:t>i</m:t>
        </m:r>
        <m:r>
          <m:t>n</m:t>
        </m:r>
        <m:r>
          <m:t>2026</m:t>
        </m:r>
        <m:r>
          <m:rPr>
            <m:sty m:val="p"/>
          </m:rPr>
          <m:t>—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1.5B dividends</w:t>
      </w:r>
      <w:r>
        <w:t xml:space="preserve"> </w:t>
      </w:r>
      <w:r>
        <w:t xml:space="preserve">(raised</w:t>
      </w:r>
      <w:r>
        <w:t xml:space="preserve"> </w:t>
      </w:r>
      <m:oMath>
        <m:r>
          <m:t>0.48</m:t>
        </m:r>
        <m:r>
          <m:t>t</m:t>
        </m:r>
        <m:r>
          <m:t>o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3.78/share**) plus</w:t>
      </w:r>
      <w:r>
        <w:t xml:space="preserve"> </w:t>
      </w:r>
      <w:r>
        <w:rPr>
          <w:b/>
          <w:bCs/>
        </w:rPr>
        <w:t xml:space="preserve">~$2B buyback</w:t>
      </w:r>
      <w:r>
        <w:t xml:space="preserve"> </w:t>
      </w:r>
      <w:r>
        <w:t xml:space="preserve">(back-half weighted, 55–60% in 2H; $344M repurchased in Q1).</w:t>
      </w:r>
    </w:p>
    <w:p>
      <w:pPr>
        <w:pStyle w:val="Compact"/>
        <w:numPr>
          <w:ilvl w:val="0"/>
          <w:numId w:val="1007"/>
        </w:numPr>
      </w:pPr>
      <w:r>
        <w:t xml:space="preserve">Leverage back in the</w:t>
      </w:r>
      <w:r>
        <w:t xml:space="preserve"> </w:t>
      </w:r>
      <w:r>
        <w:rPr>
          <w:b/>
          <w:bCs/>
        </w:rPr>
        <w:t xml:space="preserve">2.5–3.0x</w:t>
      </w:r>
      <w:r>
        <w:t xml:space="preserve"> </w:t>
      </w:r>
      <w:r>
        <w:t xml:space="preserve">target range (2.94x at Q1), giving M&amp;A optionality; tuck-in pipeline guided to the</w:t>
      </w:r>
      <w:r>
        <w:t xml:space="preserve"> </w:t>
      </w:r>
      <w:r>
        <w:rPr>
          <w:b/>
          <w:bCs/>
        </w:rPr>
        <w:t xml:space="preserve">high end of $100–200M or above</w:t>
      </w:r>
      <w:r>
        <w:t xml:space="preserve">.</w:t>
      </w:r>
    </w:p>
    <w:p>
      <w:pPr>
        <w:pStyle w:val="FirstParagraph"/>
      </w:pPr>
      <w:r>
        <w:rPr>
          <w:b/>
          <w:bCs/>
        </w:rPr>
        <w:t xml:space="preserve">What to watch:</w:t>
      </w:r>
      <w:r>
        <w:t xml:space="preserve"> </w:t>
      </w:r>
      <w:r>
        <w:t xml:space="preserve">Buyback pace (is the 2H weighting still intact?), any acquisition closings (management said a deal was imminent), and reaffirmation of the FCF trajectory.</w:t>
      </w:r>
    </w:p>
    <w:p>
      <w:r>
        <w:pict>
          <v:rect style="width:0;height:1.5pt" o:hralign="center" o:hrstd="t" o:hr="t"/>
        </w:pict>
      </w:r>
    </w:p>
    <w:bookmarkEnd w:id="17"/>
    <w:bookmarkStart w:id="18" w:name="Xccbd55e270ebb8b454692db7090843a832db3d7"/>
    <w:p>
      <w:pPr>
        <w:pStyle w:val="Heading2"/>
      </w:pPr>
      <w:r>
        <w:t xml:space="preserve">8. Tax rate — a quiet EPS swing factor</w:t>
      </w:r>
    </w:p>
    <w:p>
      <w:pPr>
        <w:pStyle w:val="Compact"/>
        <w:numPr>
          <w:ilvl w:val="0"/>
          <w:numId w:val="1008"/>
        </w:numPr>
      </w:pPr>
      <w:r>
        <w:t xml:space="preserve">WM raised its</w:t>
      </w:r>
      <w:r>
        <w:t xml:space="preserve"> </w:t>
      </w:r>
      <w:r>
        <w:rPr>
          <w:b/>
          <w:bCs/>
        </w:rPr>
        <w:t xml:space="preserve">full-year 2026 effective tax rate to ~23%</w:t>
      </w:r>
      <w:r>
        <w:t xml:space="preserve"> </w:t>
      </w:r>
      <w:r>
        <w:t xml:space="preserve">after securing RNG production tax credits (worth ~</w:t>
      </w:r>
      <m:oMath>
        <m:r>
          <m:t>27</m:t>
        </m:r>
        <m:r>
          <m:t>M</m:t>
        </m:r>
        <m:r>
          <m:t>f</m:t>
        </m:r>
        <m:r>
          <m:t>o</m:t>
        </m:r>
        <m:r>
          <m:t>r</m:t>
        </m:r>
        <m:r>
          <m:t>2025</m:t>
        </m:r>
        <m:r>
          <m:t>a</m:t>
        </m:r>
        <m:r>
          <m:t>n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30–35M annually 2026–2029**). Q1's actual rate was only ~18% due to catch-up benefits, so the</w:t>
      </w:r>
      <w:r>
        <w:t xml:space="preserve"> </w:t>
      </w:r>
      <w:r>
        <w:rPr>
          <w:b/>
          <w:bCs/>
        </w:rPr>
        <w:t xml:space="preserve">reported/adjusted rate should normalize higher in Q2</w:t>
      </w:r>
      <w:r>
        <w:t xml:space="preserve"> </w:t>
      </w:r>
      <w:r>
        <w:t xml:space="preserve">— a modeling nuance that can distort YoY EPS growth optics.</w:t>
      </w:r>
    </w:p>
    <w:p>
      <w:r>
        <w:pict>
          <v:rect style="width:0;height:1.5pt" o:hralign="center" o:hrstd="t" o:hr="t"/>
        </w:pict>
      </w:r>
    </w:p>
    <w:bookmarkEnd w:id="18"/>
    <w:bookmarkStart w:id="19" w:name="X4a7be56d245eead86c8287969ba93e3864486b0"/>
    <w:p>
      <w:pPr>
        <w:pStyle w:val="Heading2"/>
      </w:pPr>
      <w:r>
        <w:t xml:space="preserve">9. The mid-year guidance refresh — the real event</w:t>
      </w:r>
    </w:p>
    <w:p>
      <w:pPr>
        <w:pStyle w:val="FirstParagraph"/>
      </w:pPr>
      <w:r>
        <w:t xml:space="preserve">On the Q1 call, Jim Fish deferred a guidance decision:</w:t>
      </w:r>
      <w:r>
        <w:t xml:space="preserve"> </w:t>
      </w:r>
      <w:r>
        <w:rPr>
          <w:i/>
          <w:iCs/>
        </w:rPr>
        <w:t xml:space="preserve">"we'll really kind of take a refresh of our guidance numbers at the end of Q2."</w:t>
      </w:r>
      <w:r>
        <w:t xml:space="preserve"> </w:t>
      </w:r>
      <w:r>
        <w:t xml:space="preserve">With pricing running ahead of plan, FCF strong, and volumes recovering, the bar is set for at least a</w:t>
      </w:r>
      <w:r>
        <w:t xml:space="preserve"> </w:t>
      </w:r>
      <w:r>
        <w:rPr>
          <w:b/>
          <w:bCs/>
        </w:rPr>
        <w:t xml:space="preserve">narrowing toward the high end</w:t>
      </w:r>
      <w:r>
        <w:t xml:space="preserve"> </w:t>
      </w:r>
      <w:r>
        <w:t xml:space="preserve">of the FY ranges:</w:t>
      </w:r>
    </w:p>
    <w:p>
      <w:pPr>
        <w:pStyle w:val="Compact"/>
        <w:numPr>
          <w:ilvl w:val="0"/>
          <w:numId w:val="1009"/>
        </w:numPr>
      </w:pPr>
      <w:r>
        <w:t xml:space="preserve">Revenue</w:t>
      </w:r>
      <w:r>
        <w:t xml:space="preserve"> </w:t>
      </w:r>
      <w:r>
        <w:rPr>
          <w:b/>
          <w:bCs/>
        </w:rPr>
        <w:t xml:space="preserve">$26,425–26,625M</w:t>
      </w:r>
      <w:r>
        <w:t xml:space="preserve"> </w:t>
      </w:r>
      <w:r>
        <w:t xml:space="preserve">(+5.2%)</w:t>
      </w:r>
    </w:p>
    <w:p>
      <w:pPr>
        <w:pStyle w:val="Compact"/>
        <w:numPr>
          <w:ilvl w:val="0"/>
          <w:numId w:val="1009"/>
        </w:numPr>
      </w:pPr>
      <w:r>
        <w:t xml:space="preserve">Adjusted EBITDA</w:t>
      </w:r>
      <w:r>
        <w:t xml:space="preserve"> </w:t>
      </w:r>
      <w:r>
        <w:rPr>
          <w:b/>
          <w:bCs/>
        </w:rPr>
        <w:t xml:space="preserve">$8,150–8,250M</w:t>
      </w:r>
      <w:r>
        <w:t xml:space="preserve"> </w:t>
      </w:r>
      <w:r>
        <w:t xml:space="preserve">(+6.2% comparable; margin 30.8–31.0%)</w:t>
      </w:r>
    </w:p>
    <w:p>
      <w:pPr>
        <w:pStyle w:val="Compact"/>
        <w:numPr>
          <w:ilvl w:val="0"/>
          <w:numId w:val="1009"/>
        </w:numPr>
      </w:pPr>
      <w:r>
        <w:t xml:space="preserve">FCF</w:t>
      </w:r>
      <w:r>
        <w:t xml:space="preserve"> </w:t>
      </w:r>
      <w:r>
        <w:rPr>
          <w:b/>
          <w:bCs/>
        </w:rPr>
        <w:t xml:space="preserve">$3,750–3,850M</w:t>
      </w:r>
    </w:p>
    <w:p>
      <w:pPr>
        <w:pStyle w:val="FirstParagraph"/>
      </w:pPr>
      <w:r>
        <w:t xml:space="preserve">A raise (especially on FCF/EBITDA) would validate the harvest thesis; a mere reaffirmation despite the Q1 pricing beat could disappoint a full valuation.</w:t>
      </w:r>
    </w:p>
    <w:p>
      <w:r>
        <w:pict>
          <v:rect style="width:0;height:1.5pt" o:hralign="center" o:hrstd="t" o:hr="t"/>
        </w:pict>
      </w:r>
    </w:p>
    <w:bookmarkEnd w:id="19"/>
    <w:bookmarkStart w:id="20" w:name="Xf0c054f700be8516b0f887955df6236ff8abea9"/>
    <w:p>
      <w:pPr>
        <w:pStyle w:val="Heading2"/>
      </w:pPr>
      <w:r>
        <w:t xml:space="preserve">My rough Q2 2026 framework (model-derived, not consensus)</w:t>
      </w:r>
    </w:p>
    <w:p>
      <w:pPr>
        <w:pStyle w:val="FirstParagraph"/>
      </w:pPr>
      <w:r>
        <w:t xml:space="preserve">Backing Q1's</w:t>
      </w:r>
      <w:r>
        <w:t xml:space="preserve"> </w:t>
      </w:r>
      <m:oMath>
        <m:r>
          <m:t>1</m:t>
        </m:r>
        <m:r>
          <m:rPr>
            <m:sty m:val="p"/>
          </m:rPr>
          <m:t>,</m:t>
        </m:r>
        <m:r>
          <m:t>853</m:t>
        </m:r>
        <m:r>
          <m:t>M</m:t>
        </m:r>
        <m:r>
          <m:t>a</m:t>
        </m:r>
        <m:r>
          <m:t>d</m:t>
        </m:r>
        <m:r>
          <m:t>j</m:t>
        </m:r>
        <m:r>
          <m:t>u</m:t>
        </m:r>
        <m:r>
          <m:t>s</m:t>
        </m:r>
        <m:r>
          <m:t>t</m:t>
        </m:r>
        <m:r>
          <m:t>e</m:t>
        </m:r>
        <m:r>
          <m:t>d</m:t>
        </m:r>
        <m:r>
          <m:t>E</m:t>
        </m:r>
        <m:r>
          <m:t>B</m:t>
        </m:r>
        <m:r>
          <m:t>I</m:t>
        </m:r>
        <m:r>
          <m:t>T</m:t>
        </m:r>
        <m:r>
          <m:t>D</m:t>
        </m:r>
        <m:r>
          <m:t>A</m:t>
        </m:r>
        <m:r>
          <m:t>o</m:t>
        </m:r>
        <m:r>
          <m:t>u</m:t>
        </m:r>
        <m:r>
          <m:t>t</m:t>
        </m:r>
        <m:r>
          <m:t>o</m:t>
        </m:r>
        <m:r>
          <m:t>f</m:t>
        </m:r>
        <m:r>
          <m:t>t</m:t>
        </m:r>
        <m:r>
          <m:t>h</m:t>
        </m:r>
        <m:r>
          <m:t>e</m:t>
        </m:r>
        <m:r>
          <m:t>F</m:t>
        </m:r>
        <m:r>
          <m:t>Y</m:t>
        </m:r>
        <m:r>
          <m:t>m</m:t>
        </m:r>
        <m:r>
          <m:t>i</m:t>
        </m:r>
        <m:r>
          <m:t>d</m:t>
        </m:r>
        <m:r>
          <m:t>p</m:t>
        </m:r>
        <m:r>
          <m:t>o</m:t>
        </m:r>
        <m:r>
          <m:t>i</m:t>
        </m:r>
        <m:r>
          <m:t>n</m:t>
        </m:r>
        <m:r>
          <m:t>t</m:t>
        </m:r>
        <m:r>
          <m:t>l</m:t>
        </m:r>
        <m:r>
          <m:t>e</m:t>
        </m:r>
        <m:r>
          <m:t>a</m:t>
        </m:r>
        <m:r>
          <m:t>v</m:t>
        </m:r>
        <m:r>
          <m:t>e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 </m:t>
        </m:r>
      </m:oMath>
      <w:r>
        <w:t xml:space="preserve">2,116M average per quarter** for Q2–Q4. Q2 is seasonally strong but carries the wildfire comp, so I'd frame: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Q2 2025 (comp)</w:t>
            </w:r>
          </w:p>
        </w:tc>
        <w:tc>
          <w:tcPr/>
          <w:p>
            <w:pPr>
              <w:pStyle w:val="Compact"/>
            </w:pPr>
            <w:r>
              <w:t xml:space="preserve">My Q2 2026 ballpark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$6,430M</w:t>
            </w:r>
          </w:p>
        </w:tc>
        <w:tc>
          <w:tcPr/>
          <w:p>
            <w:pPr>
              <w:pStyle w:val="Compact"/>
            </w:pPr>
            <w:r>
              <w:t xml:space="preserve">~$6,650–6,800M</w:t>
            </w:r>
          </w:p>
        </w:tc>
        <w:tc>
          <w:tcPr/>
          <w:p>
            <w:pPr>
              <w:pStyle w:val="Compact"/>
            </w:pPr>
            <w:r>
              <w:t xml:space="preserve">+3–5%; wildfire drag vs. price + sustainability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Adj. EBITDA</w:t>
            </w:r>
          </w:p>
        </w:tc>
        <w:tc>
          <w:tcPr/>
          <w:p>
            <w:pPr>
              <w:pStyle w:val="Compact"/>
            </w:pPr>
            <w:r>
              <w:t xml:space="preserve">$1,923M</w:t>
            </w:r>
          </w:p>
        </w:tc>
        <w:tc>
          <w:tcPr/>
          <w:p>
            <w:pPr>
              <w:pStyle w:val="Compact"/>
            </w:pPr>
            <w:r>
              <w:t xml:space="preserve">~$2,040–2,100M</w:t>
            </w:r>
          </w:p>
        </w:tc>
        <w:tc>
          <w:tcPr/>
          <w:p>
            <w:pPr>
              <w:pStyle w:val="Compact"/>
            </w:pPr>
            <w:r>
              <w:t xml:space="preserve">+6–9%; margin ~31%+ on new basis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Adj. EBITDA margin</w:t>
            </w:r>
          </w:p>
        </w:tc>
        <w:tc>
          <w:tcPr/>
          <w:p>
            <w:pPr>
              <w:pStyle w:val="Compact"/>
            </w:pPr>
            <w:r>
              <w:t xml:space="preserve">29.9%</w:t>
            </w:r>
          </w:p>
        </w:tc>
        <w:tc>
          <w:tcPr/>
          <w:p>
            <w:pPr>
              <w:pStyle w:val="Compact"/>
            </w:pPr>
            <w:r>
              <w:t xml:space="preserve">~31.0–31.3%</w:t>
            </w:r>
          </w:p>
        </w:tc>
        <w:tc>
          <w:tcPr/>
          <w:p>
            <w:pPr>
              <w:pStyle w:val="Compact"/>
            </w:pPr>
            <w:r>
              <w:t xml:space="preserve">boosted by accretion reclass + spread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Adj. EPS</w:t>
            </w:r>
          </w:p>
        </w:tc>
        <w:tc>
          <w:tcPr/>
          <w:p>
            <w:pPr>
              <w:pStyle w:val="Compact"/>
            </w:pPr>
            <w:r>
              <w:t xml:space="preserve">$1.92</w:t>
            </w:r>
          </w:p>
        </w:tc>
        <w:tc>
          <w:tcPr/>
          <w:p>
            <w:pPr>
              <w:pStyle w:val="Compact"/>
            </w:pPr>
            <w:r>
              <w:t xml:space="preserve">~$2.02–2.10</w:t>
            </w:r>
          </w:p>
        </w:tc>
        <w:tc>
          <w:tcPr/>
          <w:p>
            <w:pPr>
              <w:pStyle w:val="Compact"/>
            </w:pPr>
            <w:r>
              <w:t xml:space="preserve">higher tax rate a partial offset</w:t>
            </w:r>
          </w:p>
        </w:tc>
      </w:tr>
      <w:tr>
        <w:tc>
          <w:tcPr/>
          <w:p>
            <w:pPr>
              <w:pStyle w:val="Compact"/>
            </w:pPr>
            <w:r>
              <w:t xml:space="preserve">FCF (H1 cum.)</w:t>
            </w:r>
          </w:p>
        </w:tc>
        <w:tc>
          <w:tcPr/>
          <w:p>
            <w:pPr>
              <w:pStyle w:val="Compact"/>
            </w:pPr>
            <w:r>
              <w:t xml:space="preserve">$1.29B</w:t>
            </w:r>
          </w:p>
        </w:tc>
        <w:tc>
          <w:tcPr/>
          <w:p>
            <w:pPr>
              <w:pStyle w:val="Compact"/>
            </w:pPr>
            <w:r>
              <w:t xml:space="preserve">~$1.8–2.0B</w:t>
            </w:r>
          </w:p>
        </w:tc>
        <w:tc>
          <w:tcPr/>
          <w:p>
            <w:pPr>
              <w:pStyle w:val="Compact"/>
            </w:pPr>
            <w:r>
              <w:t xml:space="preserve">tracking toward big FY step-up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0"/>
    <w:bookmarkStart w:id="21" w:name="Xd4cde11ef86325f1ee294ea1c52b11e3bcf1800"/>
    <w:p>
      <w:pPr>
        <w:pStyle w:val="Heading2"/>
      </w:pPr>
      <w:r>
        <w:t xml:space="preserve">Bottom line — what makes or breaks the print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Volume ex-wildfire</w:t>
      </w:r>
      <w:r>
        <w:t xml:space="preserve"> </w:t>
      </w:r>
      <w:r>
        <w:t xml:space="preserve">(MSW/industrial acceleration) → the macro read and the 2H setup.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Guidance refresh</w:t>
      </w:r>
      <w:r>
        <w:t xml:space="preserve"> </w:t>
      </w:r>
      <w:r>
        <w:t xml:space="preserve">→ narrow-to-high-end or raise is the key catalyst given a full valuation.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Healthcare 2H revenue inflection</w:t>
      </w:r>
      <w:r>
        <w:t xml:space="preserve"> </w:t>
      </w:r>
      <w:r>
        <w:t xml:space="preserve">proof points → the credibility swing factor.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Margin</w:t>
      </w:r>
      <w:r>
        <w:t xml:space="preserve"> </w:t>
      </w:r>
      <w:r>
        <w:t xml:space="preserve">on the new accretion basis holding &gt;31% despite the wildfire comp.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Sustainability EBITDA + RNG commissioning timing</w:t>
      </w:r>
      <w:r>
        <w:t xml:space="preserve"> </w:t>
      </w:r>
      <w:r>
        <w:t xml:space="preserve">and capital-return cadence.</w:t>
      </w:r>
    </w:p>
    <w:p>
      <w:pPr>
        <w:pStyle w:val="FirstParagraph"/>
      </w:pPr>
      <w:r>
        <w:t xml:space="preserve">Risks skew toward "good quarter, but priced for it": the stock's YTD outperformance and elevated multiple mean the reaction likely hinges more on the</w:t>
      </w:r>
      <w:r>
        <w:t xml:space="preserve"> </w:t>
      </w:r>
      <w:r>
        <w:rPr>
          <w:b/>
          <w:bCs/>
        </w:rPr>
        <w:t xml:space="preserve">guidance update and Healthcare/volume trajectory</w:t>
      </w:r>
      <w:r>
        <w:t xml:space="preserve"> </w:t>
      </w:r>
      <w:r>
        <w:t xml:space="preserve">than on the headline EPS beat itself.</w:t>
      </w:r>
    </w:p>
    <w:p>
      <w:pPr>
        <w:pStyle w:val="BodyText"/>
      </w:pPr>
      <w:r>
        <w:rPr>
          <w:i/>
          <w:iCs/>
        </w:rPr>
        <w:t xml:space="preserve">Note: figures above are drawn from WM's Q1 2026, Q4/FY2025, and Q2 2025 releases and the Q1 2026 call; the Q2 2026 table is my own estimate, not published company guidance or sell-side consensus.</w:t>
      </w:r>
    </w:p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2026-07-28T01:47:50Z</dcterms:created>
  <dcterms:modified xsi:type="dcterms:W3CDTF">2026-07-28T01:47:50Z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