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3" w:name="Xe527f46c18fd6919787b04e7df72fff6fea3cbb"/>
    <w:p>
      <w:pPr>
        <w:pStyle w:val="Heading1"/>
      </w:pPr>
      <w:r>
        <w:t xml:space="preserve">Bunge Global (NYSE: BG) — 2Q26 Earnings Preview</w:t>
      </w:r>
    </w:p>
    <w:p>
      <w:pPr>
        <w:pStyle w:val="BlockText"/>
      </w:pPr>
      <w:r>
        <w:rPr>
          <w:b/>
          <w:bCs/>
        </w:rPr>
        <w:t xml:space="preserve">Date clarification:</w:t>
      </w:r>
      <w:r>
        <w:t xml:space="preserve"> </w:t>
      </w:r>
      <w:r>
        <w:t xml:space="preserve">The scheduled</w:t>
      </w:r>
      <w:r>
        <w:t xml:space="preserve"> </w:t>
      </w:r>
      <w:r>
        <w:rPr>
          <w:b/>
          <w:bCs/>
        </w:rPr>
        <w:t xml:space="preserve">2026Q2 earnings call is today, Wednesday, July 29, 2026</w:t>
      </w:r>
      <w:r>
        <w:t xml:space="preserve">—not tomorrow. This preview is based on the company’s latest disclosed outlook and operating commentary ahead of the report.</w:t>
      </w:r>
    </w:p>
    <w:bookmarkStart w:id="9" w:name="X53849fb8faffd31a200f3d7a9dd20c0544557cd"/>
    <w:p>
      <w:pPr>
        <w:pStyle w:val="Heading2"/>
      </w:pPr>
      <w:r>
        <w:t xml:space="preserve">Investment view: the setup is constructive, but the bar has moved higher</w:t>
      </w:r>
    </w:p>
    <w:p>
      <w:pPr>
        <w:pStyle w:val="FirstParagraph"/>
      </w:pPr>
      <w:r>
        <w:t xml:space="preserve">Bunge enters 2Q with a materially improved fundamental backdrop versus the start of the year. In 1Q, it delivered</w:t>
      </w:r>
      <w:r>
        <w:t xml:space="preserve"> </w:t>
      </w:r>
      <m:oMath>
        <m:r>
          <m:t>1.83</m:t>
        </m:r>
        <m:r>
          <m:t>a</m:t>
        </m:r>
        <m:r>
          <m:t>d</m:t>
        </m:r>
        <m:r>
          <m:t>j</m:t>
        </m:r>
        <m:r>
          <m:t>u</m:t>
        </m:r>
        <m:r>
          <m:t>s</m:t>
        </m:r>
        <m:r>
          <m:t>t</m:t>
        </m:r>
        <m:r>
          <m:t>e</m:t>
        </m:r>
        <m:r>
          <m:t>d</m:t>
        </m:r>
        <m:r>
          <m:t>E</m:t>
        </m:r>
        <m:r>
          <m:t>P</m:t>
        </m:r>
        <m:r>
          <m:t>S</m:t>
        </m:r>
        <m:r>
          <m:rPr>
            <m:sty m:val="p"/>
          </m:rPr>
          <m:t>*</m:t>
        </m:r>
        <m:r>
          <m:rPr>
            <m:sty m:val="p"/>
          </m:rPr>
          <m:t>*</m:t>
        </m:r>
        <m:r>
          <m:rPr>
            <m:sty m:val="p"/>
          </m:rPr>
          <m:t>,</m:t>
        </m:r>
        <m:r>
          <m:t>r</m:t>
        </m:r>
        <m:r>
          <m:t>a</m:t>
        </m:r>
        <m:r>
          <m:t>i</m:t>
        </m:r>
        <m:r>
          <m:t>s</m:t>
        </m:r>
        <m:r>
          <m:t>e</m:t>
        </m:r>
        <m:r>
          <m:t>d</m:t>
        </m:r>
        <m:r>
          <m:t>f</m:t>
        </m:r>
        <m:r>
          <m:t>u</m:t>
        </m:r>
        <m:r>
          <m:t>l</m:t>
        </m:r>
        <m:r>
          <m:t>l</m:t>
        </m:r>
        <m:r>
          <m:rPr>
            <m:sty m:val="p"/>
          </m:rPr>
          <m:t>−</m:t>
        </m:r>
        <m:r>
          <m:t>y</m:t>
        </m:r>
        <m:r>
          <m:t>e</m:t>
        </m:r>
        <m:r>
          <m:t>a</m:t>
        </m:r>
        <m:r>
          <m:t>r</m:t>
        </m:r>
        <m:r>
          <m:t>a</m:t>
        </m:r>
        <m:r>
          <m:t>d</m:t>
        </m:r>
        <m:r>
          <m:t>j</m:t>
        </m:r>
        <m:r>
          <m:t>u</m:t>
        </m:r>
        <m:r>
          <m:t>s</m:t>
        </m:r>
        <m:r>
          <m:t>t</m:t>
        </m:r>
        <m:r>
          <m:t>e</m:t>
        </m:r>
        <m:r>
          <m:t>d</m:t>
        </m:r>
        <m:r>
          <m:t>E</m:t>
        </m:r>
        <m:r>
          <m:t>P</m:t>
        </m:r>
        <m:r>
          <m:t>S</m:t>
        </m:r>
        <m:r>
          <m:t>g</m:t>
        </m:r>
        <m:r>
          <m:t>u</m:t>
        </m:r>
        <m:r>
          <m:t>i</m:t>
        </m:r>
        <m:r>
          <m:t>d</m:t>
        </m:r>
        <m:r>
          <m:t>a</m:t>
        </m:r>
        <m:r>
          <m:t>n</m:t>
        </m:r>
        <m:r>
          <m:t>c</m:t>
        </m:r>
        <m:r>
          <m:t>e</m:t>
        </m:r>
        <m:r>
          <m:t>t</m:t>
        </m:r>
        <m:r>
          <m:t>o</m:t>
        </m:r>
        <m:r>
          <m:rPr>
            <m:sty m:val="p"/>
          </m:rPr>
          <m:t>*</m:t>
        </m:r>
        <m:r>
          <m:rPr>
            <m:sty m:val="p"/>
          </m:rPr>
          <m:t>*</m:t>
        </m:r>
      </m:oMath>
      <w:r>
        <w:rPr>
          <w:b/>
          <w:bCs/>
        </w:rPr>
        <w:t xml:space="preserve">9.00–$9.50</w:t>
      </w:r>
      <w:r>
        <w:t xml:space="preserve"> </w:t>
      </w:r>
      <w:r>
        <w:t xml:space="preserve">from</w:t>
      </w:r>
      <w:r>
        <w:t xml:space="preserve"> </w:t>
      </w:r>
      <m:oMath>
        <m:r>
          <m:t>7.50</m:t>
        </m:r>
        <m:r>
          <m:rPr>
            <m:sty m:val="p"/>
          </m:rPr>
          <m:t>–</m:t>
        </m:r>
      </m:oMath>
      <w:r>
        <w:t xml:space="preserve">8.00, and attributed the improvement principally to soybean and softseed processing/refining, supported by biofuel-related demand, stronger oilseed origination, and the enlarged Viterra platform.</w:t>
      </w:r>
    </w:p>
    <w:p>
      <w:pPr>
        <w:pStyle w:val="BodyText"/>
      </w:pPr>
      <w:r>
        <w:t xml:space="preserve">The central question for this report is therefore</w:t>
      </w:r>
      <w:r>
        <w:t xml:space="preserve"> </w:t>
      </w:r>
      <w:r>
        <w:rPr>
          <w:b/>
          <w:bCs/>
        </w:rPr>
        <w:t xml:space="preserve">not simply whether Bunge beats on 2Q EPS</w:t>
      </w:r>
      <w:r>
        <w:t xml:space="preserve">. Investors will be assessing whether:</w:t>
      </w:r>
    </w:p>
    <w:p>
      <w:pPr>
        <w:pStyle w:val="Compact"/>
        <w:numPr>
          <w:ilvl w:val="0"/>
          <w:numId w:val="1001"/>
        </w:numPr>
      </w:pPr>
      <w:r>
        <w:t xml:space="preserve">The stronger oilseed-processing environment is holding into the second half;</w:t>
      </w:r>
    </w:p>
    <w:p>
      <w:pPr>
        <w:pStyle w:val="Compact"/>
        <w:numPr>
          <w:ilvl w:val="0"/>
          <w:numId w:val="1001"/>
        </w:numPr>
      </w:pPr>
      <w:r>
        <w:t xml:space="preserve">Viterra synergies and network benefits are emerging faster than expected;</w:t>
      </w:r>
    </w:p>
    <w:p>
      <w:pPr>
        <w:pStyle w:val="Compact"/>
        <w:numPr>
          <w:ilvl w:val="0"/>
          <w:numId w:val="1001"/>
        </w:numPr>
      </w:pPr>
      <w:r>
        <w:t xml:space="preserve">Higher financing, tax, freight, and corporate costs are manageable; and</w:t>
      </w:r>
    </w:p>
    <w:p>
      <w:pPr>
        <w:pStyle w:val="Compact"/>
        <w:numPr>
          <w:ilvl w:val="0"/>
          <w:numId w:val="1001"/>
        </w:numPr>
      </w:pPr>
      <w:r>
        <w:t xml:space="preserve">Management can sustain—or raise—its full-year outlook despite weak spots in Grain Merchandising &amp; Milling and Tropical Oils.</w:t>
      </w:r>
    </w:p>
    <w:p>
      <w:pPr>
        <w:pStyle w:val="FirstParagraph"/>
      </w:pPr>
      <w:r>
        <w:t xml:space="preserve">Management’s prior commentary suggests an implied 2Q adjusted-EPS range of roughly</w:t>
      </w:r>
      <w:r>
        <w:t xml:space="preserve"> </w:t>
      </w:r>
      <m:oMath>
        <m:r>
          <m:t>1.77</m:t>
        </m:r>
        <m:r>
          <m:rPr>
            <m:sty m:val="p"/>
          </m:rPr>
          <m:t>–</m:t>
        </m:r>
      </m:oMath>
      <w:r>
        <w:rPr>
          <w:b/>
          <w:bCs/>
        </w:rPr>
        <w:t xml:space="preserve">1.97</w:t>
      </w:r>
      <w:r>
        <w:t xml:space="preserve">, centered near</w:t>
      </w:r>
      <w:r>
        <w:t xml:space="preserve"> </w:t>
      </w:r>
      <w:r>
        <w:rPr>
          <w:b/>
          <w:bCs/>
        </w:rPr>
        <w:t xml:space="preserve">$1.87</w:t>
      </w:r>
      <w:r>
        <w:t xml:space="preserve">, based on its indication that approximately 40% of 2026 earnings should arrive in the first half. This is an</w:t>
      </w:r>
      <w:r>
        <w:t xml:space="preserve"> </w:t>
      </w:r>
      <w:r>
        <w:rPr>
          <w:b/>
          <w:bCs/>
        </w:rPr>
        <w:t xml:space="preserve">analytical cadence implication, not company guidance</w:t>
      </w:r>
      <w:r>
        <w:t xml:space="preserve">.</w:t>
      </w:r>
    </w:p>
    <w:bookmarkEnd w:id="9"/>
    <w:bookmarkStart w:id="14" w:name="what-matters-most-in-the-quarter"/>
    <w:p>
      <w:pPr>
        <w:pStyle w:val="Heading2"/>
      </w:pPr>
      <w:r>
        <w:t xml:space="preserve">What matters most in the quarter</w:t>
      </w:r>
    </w:p>
    <w:bookmarkStart w:id="10" w:name="X120b1efe2047e87148b4ecc538186120d447a27"/>
    <w:p>
      <w:pPr>
        <w:pStyle w:val="Heading3"/>
      </w:pPr>
      <w:r>
        <w:t xml:space="preserve">1. Soybean and softseed processing: the primary earnings driver</w:t>
      </w:r>
    </w:p>
    <w:p>
      <w:pPr>
        <w:pStyle w:val="FirstParagraph"/>
      </w:pPr>
      <w:r>
        <w:t xml:space="preserve">The most important read-through will be the durability of elevated crush and oilseed-value-chain economics.</w:t>
      </w:r>
    </w:p>
    <w:p>
      <w:pPr>
        <w:pStyle w:val="BodyText"/>
      </w:pPr>
      <w:r>
        <w:t xml:space="preserve">In 1Q, adjusted segment EBIT was:</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Segment</w:t>
            </w:r>
          </w:p>
        </w:tc>
        <w:tc>
          <w:tcPr/>
          <w:p>
            <w:pPr>
              <w:pStyle w:val="Compact"/>
              <w:jc w:val="right"/>
            </w:pPr>
            <w:r>
              <w:t xml:space="preserve">1Q26 Adjusted EBIT</w:t>
            </w:r>
          </w:p>
        </w:tc>
        <w:tc>
          <w:tcPr/>
          <w:p>
            <w:pPr>
              <w:pStyle w:val="Compact"/>
              <w:jc w:val="right"/>
            </w:pPr>
            <w:r>
              <w:t xml:space="preserve">1Q25 Adjusted EBIT</w:t>
            </w:r>
          </w:p>
        </w:tc>
      </w:tr>
      <w:tr>
        <w:tc>
          <w:tcPr/>
          <w:p>
            <w:pPr>
              <w:pStyle w:val="Compact"/>
            </w:pPr>
            <w:r>
              <w:t xml:space="preserve">Soybean Processing &amp; Refining</w:t>
            </w:r>
          </w:p>
        </w:tc>
        <w:tc>
          <w:tcPr/>
          <w:p>
            <w:pPr>
              <w:pStyle w:val="Compact"/>
              <w:jc w:val="right"/>
            </w:pPr>
            <w:r>
              <w:rPr>
                <w:b/>
                <w:bCs/>
              </w:rPr>
              <w:t xml:space="preserve">$377m</w:t>
            </w:r>
          </w:p>
        </w:tc>
        <w:tc>
          <w:tcPr/>
          <w:p>
            <w:pPr>
              <w:pStyle w:val="Compact"/>
              <w:jc w:val="right"/>
            </w:pPr>
            <w:r>
              <w:t xml:space="preserve">$241m</w:t>
            </w:r>
          </w:p>
        </w:tc>
      </w:tr>
      <w:tr>
        <w:tc>
          <w:tcPr/>
          <w:p>
            <w:pPr>
              <w:pStyle w:val="Compact"/>
            </w:pPr>
            <w:r>
              <w:t xml:space="preserve">Softseed Processing &amp; Refining</w:t>
            </w:r>
          </w:p>
        </w:tc>
        <w:tc>
          <w:tcPr/>
          <w:p>
            <w:pPr>
              <w:pStyle w:val="Compact"/>
              <w:jc w:val="right"/>
            </w:pPr>
            <w:r>
              <w:rPr>
                <w:b/>
                <w:bCs/>
              </w:rPr>
              <w:t xml:space="preserve">$195m</w:t>
            </w:r>
          </w:p>
        </w:tc>
        <w:tc>
          <w:tcPr/>
          <w:p>
            <w:pPr>
              <w:pStyle w:val="Compact"/>
              <w:jc w:val="right"/>
            </w:pPr>
            <w:r>
              <w:t xml:space="preserve">$82m</w:t>
            </w:r>
          </w:p>
        </w:tc>
      </w:tr>
      <w:tr>
        <w:tc>
          <w:tcPr/>
          <w:p>
            <w:pPr>
              <w:pStyle w:val="Compact"/>
            </w:pPr>
            <w:r>
              <w:t xml:space="preserve">Tropical Oils &amp; Specialty Ingredients</w:t>
            </w:r>
          </w:p>
        </w:tc>
        <w:tc>
          <w:tcPr/>
          <w:p>
            <w:pPr>
              <w:pStyle w:val="Compact"/>
              <w:jc w:val="right"/>
            </w:pPr>
            <w:r>
              <w:rPr>
                <w:b/>
                <w:bCs/>
              </w:rPr>
              <w:t xml:space="preserve">$45m</w:t>
            </w:r>
          </w:p>
        </w:tc>
        <w:tc>
          <w:tcPr/>
          <w:p>
            <w:pPr>
              <w:pStyle w:val="Compact"/>
              <w:jc w:val="right"/>
            </w:pPr>
            <w:r>
              <w:t xml:space="preserve">$23m</w:t>
            </w:r>
          </w:p>
        </w:tc>
      </w:tr>
      <w:tr>
        <w:tc>
          <w:tcPr/>
          <w:p>
            <w:pPr>
              <w:pStyle w:val="Compact"/>
            </w:pPr>
            <w:r>
              <w:t xml:space="preserve">Grain Merchandising &amp; Milling</w:t>
            </w:r>
          </w:p>
        </w:tc>
        <w:tc>
          <w:tcPr/>
          <w:p>
            <w:pPr>
              <w:pStyle w:val="Compact"/>
              <w:jc w:val="right"/>
            </w:pPr>
            <w:r>
              <w:rPr>
                <w:b/>
                <w:bCs/>
              </w:rPr>
              <w:t xml:space="preserve">$44m</w:t>
            </w:r>
          </w:p>
        </w:tc>
        <w:tc>
          <w:tcPr/>
          <w:p>
            <w:pPr>
              <w:pStyle w:val="Compact"/>
              <w:jc w:val="right"/>
            </w:pPr>
            <w:r>
              <w:t xml:space="preserve">$60m</w:t>
            </w:r>
          </w:p>
        </w:tc>
      </w:tr>
    </w:tbl>
    <w:p>
      <w:pPr>
        <w:pStyle w:val="BodyText"/>
      </w:pPr>
      <w:r>
        <w:t xml:space="preserve">Soybean and softseed performance benefited from stronger operations in Argentina, Brazil, and North America; expanded Viterra-related capacity and origination; and better oil merchandising. For 2Q, investors should focus on:</w:t>
      </w:r>
    </w:p>
    <w:p>
      <w:pPr>
        <w:pStyle w:val="Compact"/>
        <w:numPr>
          <w:ilvl w:val="0"/>
          <w:numId w:val="1002"/>
        </w:numPr>
      </w:pPr>
      <w:r>
        <w:rPr>
          <w:b/>
          <w:bCs/>
        </w:rPr>
        <w:t xml:space="preserve">South American processing margins and farmer selling.</w:t>
      </w:r>
      <w:r>
        <w:t xml:space="preserve"> </w:t>
      </w:r>
      <w:r>
        <w:t xml:space="preserve">Argentina and Brazil remain important drivers of both throughput and origination. The larger combined footprint, particularly in Argentina, is a meaningful differentiator.</w:t>
      </w:r>
    </w:p>
    <w:p>
      <w:pPr>
        <w:pStyle w:val="Compact"/>
        <w:numPr>
          <w:ilvl w:val="0"/>
          <w:numId w:val="1002"/>
        </w:numPr>
      </w:pPr>
      <w:r>
        <w:rPr>
          <w:b/>
          <w:bCs/>
        </w:rPr>
        <w:t xml:space="preserve">U.S. biofuel/feedstock demand.</w:t>
      </w:r>
      <w:r>
        <w:t xml:space="preserve"> </w:t>
      </w:r>
      <w:r>
        <w:t xml:space="preserve">Management previously cited a favorable renewable-fuels environment and supportive demand for vegetable oils. The quality and duration of this demand matter more than one quarter’s spot margins.</w:t>
      </w:r>
    </w:p>
    <w:p>
      <w:pPr>
        <w:pStyle w:val="Compact"/>
        <w:numPr>
          <w:ilvl w:val="0"/>
          <w:numId w:val="1002"/>
        </w:numPr>
      </w:pPr>
      <w:r>
        <w:rPr>
          <w:b/>
          <w:bCs/>
        </w:rPr>
        <w:t xml:space="preserve">Meal demand.</w:t>
      </w:r>
      <w:r>
        <w:t xml:space="preserve"> </w:t>
      </w:r>
      <w:r>
        <w:t xml:space="preserve">Bunge described global soybean-meal demand as surprisingly resilient, supported by animal-protein economics and feed demand. Continued meal strength would ease a key market concern around incremental North American crush capacity.</w:t>
      </w:r>
    </w:p>
    <w:p>
      <w:pPr>
        <w:pStyle w:val="Compact"/>
        <w:numPr>
          <w:ilvl w:val="0"/>
          <w:numId w:val="1002"/>
        </w:numPr>
      </w:pPr>
      <w:r>
        <w:rPr>
          <w:b/>
          <w:bCs/>
        </w:rPr>
        <w:t xml:space="preserve">Forward coverage.</w:t>
      </w:r>
      <w:r>
        <w:t xml:space="preserve"> </w:t>
      </w:r>
      <w:r>
        <w:t xml:space="preserve">Management emphasized that oil, meal, and other customers were generally not committing far out on the curve. That could limit second-half visibility even if current economics remain attractive.</w:t>
      </w:r>
    </w:p>
    <w:p>
      <w:pPr>
        <w:pStyle w:val="FirstParagraph"/>
      </w:pPr>
      <w:r>
        <w:t xml:space="preserve">A strong result in these two segments, accompanied by a confident discussion of 2H coverage, would be the cleanest positive catalyst.</w:t>
      </w:r>
    </w:p>
    <w:bookmarkEnd w:id="10"/>
    <w:bookmarkStart w:id="11" w:name="X24c0af4f1b9d2cd776685f23121fea1abff36aa"/>
    <w:p>
      <w:pPr>
        <w:pStyle w:val="Heading3"/>
      </w:pPr>
      <w:r>
        <w:t xml:space="preserve">2. Guidance: can Bunge defend the</w:t>
      </w:r>
      <w:r>
        <w:t xml:space="preserve"> </w:t>
      </w:r>
      <m:oMath>
        <m:r>
          <m:t>9.00</m:t>
        </m:r>
        <m:r>
          <m:rPr>
            <m:sty m:val="p"/>
          </m:rPr>
          <m:t>–</m:t>
        </m:r>
      </m:oMath>
      <w:r>
        <w:t xml:space="preserve">9.50 range?</w:t>
      </w:r>
    </w:p>
    <w:p>
      <w:pPr>
        <w:pStyle w:val="FirstParagraph"/>
      </w:pPr>
      <w:r>
        <w:t xml:space="preserve">The outlook is likely the stock’s most important earnings-day variable.</w:t>
      </w:r>
    </w:p>
    <w:p>
      <w:pPr>
        <w:pStyle w:val="BodyText"/>
      </w:pPr>
      <w:r>
        <w:t xml:space="preserve">Bunge raised guidance after 1Q because the soybean and softseed businesses were improving faster than management had expected. But it also cautioned that the environment remained volatile and that the upgrade was weighted toward the first half. Key watch items:</w:t>
      </w:r>
    </w:p>
    <w:p>
      <w:pPr>
        <w:pStyle w:val="Compact"/>
        <w:numPr>
          <w:ilvl w:val="0"/>
          <w:numId w:val="1003"/>
        </w:numPr>
      </w:pPr>
      <w:r>
        <w:rPr>
          <w:b/>
          <w:bCs/>
        </w:rPr>
        <w:t xml:space="preserve">No change / reaffirmation</w:t>
      </w:r>
      <w:r>
        <w:t xml:space="preserve"> </w:t>
      </w:r>
      <w:r>
        <w:t xml:space="preserve">would likely be viewed as acceptable if accompanied by convincing commentary on margins, customer coverage, and Viterra execution.</w:t>
      </w:r>
    </w:p>
    <w:p>
      <w:pPr>
        <w:pStyle w:val="Compact"/>
        <w:numPr>
          <w:ilvl w:val="0"/>
          <w:numId w:val="1003"/>
        </w:numPr>
      </w:pPr>
      <w:r>
        <w:rPr>
          <w:b/>
          <w:bCs/>
        </w:rPr>
        <w:t xml:space="preserve">A raise</w:t>
      </w:r>
      <w:r>
        <w:t xml:space="preserve"> </w:t>
      </w:r>
      <w:r>
        <w:t xml:space="preserve">would require evidence that the improved oilseed environment has persisted longer than expected or that synergy capture is accelerating.</w:t>
      </w:r>
    </w:p>
    <w:p>
      <w:pPr>
        <w:pStyle w:val="Compact"/>
        <w:numPr>
          <w:ilvl w:val="0"/>
          <w:numId w:val="1003"/>
        </w:numPr>
      </w:pPr>
      <w:r>
        <w:rPr>
          <w:b/>
          <w:bCs/>
        </w:rPr>
        <w:t xml:space="preserve">A guide-down or cautious narrowing</w:t>
      </w:r>
      <w:r>
        <w:t xml:space="preserve"> </w:t>
      </w:r>
      <w:r>
        <w:t xml:space="preserve">would likely be poorly received, particularly if tied to grain freight, lower tropical-oils profitability, higher working-capital needs, or a weaker margin outlook.</w:t>
      </w:r>
    </w:p>
    <w:p>
      <w:pPr>
        <w:pStyle w:val="FirstParagraph"/>
      </w:pPr>
      <w:r>
        <w:t xml:space="preserve">The range also embeds notable moving parts outside operating execution: Bunge forecast a</w:t>
      </w:r>
      <w:r>
        <w:t xml:space="preserve"> </w:t>
      </w:r>
      <w:r>
        <w:rPr>
          <w:b/>
          <w:bCs/>
        </w:rPr>
        <w:t xml:space="preserve">22%–26% adjusted tax rate</w:t>
      </w:r>
      <w:r>
        <w:t xml:space="preserve">,</w:t>
      </w:r>
      <w:r>
        <w:t xml:space="preserve"> </w:t>
      </w:r>
      <m:oMath>
        <m:r>
          <m:t>620</m:t>
        </m:r>
        <m:r>
          <m:t>m</m:t>
        </m:r>
        <m:r>
          <m:rPr>
            <m:sty m:val="p"/>
          </m:rPr>
          <m:t>–</m:t>
        </m:r>
      </m:oMath>
      <w:r>
        <w:rPr>
          <w:b/>
          <w:bCs/>
        </w:rPr>
        <w:t xml:space="preserve">660m of net interest expense</w:t>
      </w:r>
      <w:r>
        <w:t xml:space="preserve">, and</w:t>
      </w:r>
      <w:r>
        <w:t xml:space="preserve"> </w:t>
      </w:r>
      <m:oMath>
        <m:r>
          <m:t>1.5</m:t>
        </m:r>
        <m:r>
          <m:t>b</m:t>
        </m:r>
        <m:r>
          <m:t>n</m:t>
        </m:r>
        <m:r>
          <m:rPr>
            <m:sty m:val="p"/>
          </m:rPr>
          <m:t>–</m:t>
        </m:r>
      </m:oMath>
      <w:r>
        <w:rPr>
          <w:b/>
          <w:bCs/>
        </w:rPr>
        <w:t xml:space="preserve">1.7bn of capital expenditures</w:t>
      </w:r>
      <w:r>
        <w:t xml:space="preserve"> </w:t>
      </w:r>
      <w:r>
        <w:t xml:space="preserve">for 2026. Higher short-term debt and working-capital needs were already expected to raise interest expense beginning in 2Q.</w:t>
      </w:r>
    </w:p>
    <w:bookmarkEnd w:id="11"/>
    <w:bookmarkStart w:id="12" w:name="X627c5d329b1f5e092745dc5b11f65f273c25d2d"/>
    <w:p>
      <w:pPr>
        <w:pStyle w:val="Heading3"/>
      </w:pPr>
      <w:r>
        <w:t xml:space="preserve">3. Grain Merchandising &amp; Milling: a drag that could become an upside lever</w:t>
      </w:r>
    </w:p>
    <w:p>
      <w:pPr>
        <w:pStyle w:val="FirstParagraph"/>
      </w:pPr>
      <w:r>
        <w:t xml:space="preserve">Grain Merchandising &amp; Milling was the relative weak point in 1Q. Adjusted EBIT declined to</w:t>
      </w:r>
      <w:r>
        <w:t xml:space="preserve"> </w:t>
      </w:r>
      <w:r>
        <w:rPr>
          <w:b/>
          <w:bCs/>
        </w:rPr>
        <w:t xml:space="preserve">$44m</w:t>
      </w:r>
      <w:r>
        <w:t xml:space="preserve"> </w:t>
      </w:r>
      <w:r>
        <w:t xml:space="preserve">from $60m, principally because high bunker-fuel costs hurt ocean freight. Management said global grain merchandising itself was roughly in line year over year, while wheat milling, cotton, and commercial services were positive.</w:t>
      </w:r>
    </w:p>
    <w:p>
      <w:pPr>
        <w:pStyle w:val="BodyText"/>
      </w:pPr>
      <w:r>
        <w:t xml:space="preserve">This segment is inherently difficult to forecast, and investors should not expect smooth quarterly earnings. Still, 2Q commentary should address:</w:t>
      </w:r>
    </w:p>
    <w:p>
      <w:pPr>
        <w:pStyle w:val="Compact"/>
        <w:numPr>
          <w:ilvl w:val="0"/>
          <w:numId w:val="1004"/>
        </w:numPr>
      </w:pPr>
      <w:r>
        <w:t xml:space="preserve">Whether ocean-freight economics and fuel costs improved;</w:t>
      </w:r>
    </w:p>
    <w:p>
      <w:pPr>
        <w:pStyle w:val="Compact"/>
        <w:numPr>
          <w:ilvl w:val="0"/>
          <w:numId w:val="1004"/>
        </w:numPr>
      </w:pPr>
      <w:r>
        <w:t xml:space="preserve">The level of grain origination and storage income across Canada, Australia, the U.S., and South America;</w:t>
      </w:r>
    </w:p>
    <w:p>
      <w:pPr>
        <w:pStyle w:val="Compact"/>
        <w:numPr>
          <w:ilvl w:val="0"/>
          <w:numId w:val="1004"/>
        </w:numPr>
      </w:pPr>
      <w:r>
        <w:t xml:space="preserve">Any evidence that Bunge’s larger network is creating measurable cross-region arbitrage and logistics benefits; and</w:t>
      </w:r>
    </w:p>
    <w:p>
      <w:pPr>
        <w:pStyle w:val="Compact"/>
        <w:numPr>
          <w:ilvl w:val="0"/>
          <w:numId w:val="1004"/>
        </w:numPr>
      </w:pPr>
      <w:r>
        <w:t xml:space="preserve">The outlook for global grain balances, crop development, and trade flows.</w:t>
      </w:r>
    </w:p>
    <w:p>
      <w:pPr>
        <w:pStyle w:val="FirstParagraph"/>
      </w:pPr>
      <w:r>
        <w:t xml:space="preserve">The Viterra transaction substantially deepened Bunge’s storage, origination, and logistics network. That should improve earnings resilience through different carry and trading environments—but the timing of the benefit may be uneven.</w:t>
      </w:r>
    </w:p>
    <w:bookmarkEnd w:id="12"/>
    <w:bookmarkStart w:id="13" w:name="Xed56f70d51a66a4692b52fd3ccff58692b4ec36"/>
    <w:p>
      <w:pPr>
        <w:pStyle w:val="Heading3"/>
      </w:pPr>
      <w:r>
        <w:t xml:space="preserve">4. Tropical Oils &amp; Specialty Ingredients: likely still a headwind</w:t>
      </w:r>
    </w:p>
    <w:p>
      <w:pPr>
        <w:pStyle w:val="FirstParagraph"/>
      </w:pPr>
      <w:r>
        <w:t xml:space="preserve">Management reduced its outlook for Tropical Oils &amp; Specialty Ingredients following 1Q, citing weaker food-customer volumes, lower cocoa-butter-equivalent economics, uncertainty around tariffs and geopolitics, and customers remaining relatively short bought.</w:t>
      </w:r>
    </w:p>
    <w:p>
      <w:pPr>
        <w:pStyle w:val="BodyText"/>
      </w:pPr>
      <w:r>
        <w:t xml:space="preserve">For 2Q, the issue is less the absolute dollar contribution and more whether this business is stabilizing. A further deterioration could offset part of the oilseed-processing strength. Investors should listen for updates on:</w:t>
      </w:r>
    </w:p>
    <w:p>
      <w:pPr>
        <w:pStyle w:val="Compact"/>
        <w:numPr>
          <w:ilvl w:val="0"/>
          <w:numId w:val="1005"/>
        </w:numPr>
      </w:pPr>
      <w:r>
        <w:t xml:space="preserve">Food-service and packaged-food customer demand;</w:t>
      </w:r>
    </w:p>
    <w:p>
      <w:pPr>
        <w:pStyle w:val="Compact"/>
        <w:numPr>
          <w:ilvl w:val="0"/>
          <w:numId w:val="1005"/>
        </w:numPr>
      </w:pPr>
      <w:r>
        <w:t xml:space="preserve">Cocoa-butter-equivalent and specialty-fat margins;</w:t>
      </w:r>
    </w:p>
    <w:p>
      <w:pPr>
        <w:pStyle w:val="Compact"/>
        <w:numPr>
          <w:ilvl w:val="0"/>
          <w:numId w:val="1005"/>
        </w:numPr>
      </w:pPr>
      <w:r>
        <w:t xml:space="preserve">North American performance; and</w:t>
      </w:r>
    </w:p>
    <w:p>
      <w:pPr>
        <w:pStyle w:val="Compact"/>
        <w:numPr>
          <w:ilvl w:val="0"/>
          <w:numId w:val="1005"/>
        </w:numPr>
      </w:pPr>
      <w:r>
        <w:t xml:space="preserve">Progress at higher-value protein and specialty-ingredient investments.</w:t>
      </w:r>
    </w:p>
    <w:p>
      <w:pPr>
        <w:pStyle w:val="FirstParagraph"/>
      </w:pPr>
      <w:r>
        <w:t xml:space="preserve">Longer term, Bunge views soy protein concentrates, specialty oils/fats, and the IFF soy-protein acquisition as strategic growth opportunities. They are unlikely to determine 2Q, but their ramp and commercial traction matter for the company’s medium-term earnings bridge.</w:t>
      </w:r>
    </w:p>
    <w:bookmarkEnd w:id="13"/>
    <w:bookmarkEnd w:id="14"/>
    <w:bookmarkStart w:id="15" w:name="X4b7be9372e9666a29096b43ca9fcdb5933bf853"/>
    <w:p>
      <w:pPr>
        <w:pStyle w:val="Heading2"/>
      </w:pPr>
      <w:r>
        <w:t xml:space="preserve">Viterra: synergy execution is the key company-specific catalyst</w:t>
      </w:r>
    </w:p>
    <w:p>
      <w:pPr>
        <w:pStyle w:val="FirstParagraph"/>
      </w:pPr>
      <w:r>
        <w:t xml:space="preserve">Viterra integration is increasingly central to the BG thesis. At its March Investor Day, Bunge increased its view of achievable Viterra cost synergies to approximately</w:t>
      </w:r>
      <w:r>
        <w:t xml:space="preserve"> </w:t>
      </w:r>
      <w:r>
        <w:rPr>
          <w:b/>
          <w:bCs/>
        </w:rPr>
        <w:t xml:space="preserve">$350m annually</w:t>
      </w:r>
      <w:r>
        <w:t xml:space="preserve">, versus the original</w:t>
      </w:r>
      <w:r>
        <w:t xml:space="preserve"> </w:t>
      </w:r>
      <m:oMath>
        <m:r>
          <m:t>250</m:t>
        </m:r>
        <m:r>
          <m:t>m</m:t>
        </m:r>
        <m:r>
          <m:t>t</m:t>
        </m:r>
        <m:r>
          <m:t>a</m:t>
        </m:r>
        <m:r>
          <m:t>r</m:t>
        </m:r>
        <m:r>
          <m:t>g</m:t>
        </m:r>
        <m:r>
          <m:t>e</m:t>
        </m:r>
        <m:r>
          <m:t>t</m:t>
        </m:r>
        <m:r>
          <m:rPr>
            <m:sty m:val="p"/>
          </m:rPr>
          <m:t>,</m:t>
        </m:r>
        <m:r>
          <m:t>a</m:t>
        </m:r>
        <m:r>
          <m:t>n</m:t>
        </m:r>
        <m:r>
          <m:t>d</m:t>
        </m:r>
        <m:r>
          <m:t>i</m:t>
        </m:r>
        <m:r>
          <m:t>d</m:t>
        </m:r>
        <m:r>
          <m:t>e</m:t>
        </m:r>
        <m:r>
          <m:t>n</m:t>
        </m:r>
        <m:r>
          <m:t>t</m:t>
        </m:r>
        <m:r>
          <m:t>i</m:t>
        </m:r>
        <m:r>
          <m:t>f</m:t>
        </m:r>
        <m:r>
          <m:t>i</m:t>
        </m:r>
        <m:r>
          <m:t>e</m:t>
        </m:r>
        <m:r>
          <m:t>d</m:t>
        </m:r>
        <m:r>
          <m:rPr>
            <m:sty m:val="p"/>
          </m:rPr>
          <m:t>*</m:t>
        </m:r>
        <m:r>
          <m:rPr>
            <m:sty m:val="p"/>
          </m:rPr>
          <m:t>*</m:t>
        </m:r>
      </m:oMath>
      <w:r>
        <w:t xml:space="preserve">250m–$300m** of targeted commercial opportunities. Management has also emphasized additional, harder-to-quantify benefits from network optimization, internalizing flows, freight integration, direct origination, and using a broader asset base to capture regional dislocations.</w:t>
      </w:r>
    </w:p>
    <w:p>
      <w:pPr>
        <w:pStyle w:val="BodyText"/>
      </w:pPr>
      <w:r>
        <w:t xml:space="preserve">For this quarter, investors should look for:</w:t>
      </w:r>
    </w:p>
    <w:p>
      <w:pPr>
        <w:pStyle w:val="Compact"/>
        <w:numPr>
          <w:ilvl w:val="0"/>
          <w:numId w:val="1006"/>
        </w:numPr>
      </w:pPr>
      <w:r>
        <w:t xml:space="preserve">Incremental</w:t>
      </w:r>
      <w:r>
        <w:t xml:space="preserve"> </w:t>
      </w:r>
      <w:r>
        <w:rPr>
          <w:b/>
          <w:bCs/>
        </w:rPr>
        <w:t xml:space="preserve">run-rate cost-synergy</w:t>
      </w:r>
      <w:r>
        <w:t xml:space="preserve"> </w:t>
      </w:r>
      <w:r>
        <w:t xml:space="preserve">progress;</w:t>
      </w:r>
    </w:p>
    <w:p>
      <w:pPr>
        <w:pStyle w:val="Compact"/>
        <w:numPr>
          <w:ilvl w:val="0"/>
          <w:numId w:val="1006"/>
        </w:numPr>
      </w:pPr>
      <w:r>
        <w:t xml:space="preserve">Evidence that commercial synergies are becoming tangible rather than conceptual;</w:t>
      </w:r>
    </w:p>
    <w:p>
      <w:pPr>
        <w:pStyle w:val="Compact"/>
        <w:numPr>
          <w:ilvl w:val="0"/>
          <w:numId w:val="1006"/>
        </w:numPr>
      </w:pPr>
      <w:r>
        <w:t xml:space="preserve">Integration expense trajectory;</w:t>
      </w:r>
    </w:p>
    <w:p>
      <w:pPr>
        <w:pStyle w:val="Compact"/>
        <w:numPr>
          <w:ilvl w:val="0"/>
          <w:numId w:val="1006"/>
        </w:numPr>
      </w:pPr>
      <w:r>
        <w:t xml:space="preserve">The pace of systems, process, and freight-book consolidation; and</w:t>
      </w:r>
    </w:p>
    <w:p>
      <w:pPr>
        <w:pStyle w:val="Compact"/>
        <w:numPr>
          <w:ilvl w:val="0"/>
          <w:numId w:val="1006"/>
        </w:numPr>
      </w:pPr>
      <w:r>
        <w:t xml:space="preserve">Any change in the timing of realizing benefits.</w:t>
      </w:r>
    </w:p>
    <w:p>
      <w:pPr>
        <w:pStyle w:val="FirstParagraph"/>
      </w:pPr>
      <w:r>
        <w:t xml:space="preserve">The bullish case is that Bunge is entering an earnings-accretion phase: a more favorable processing environment combines with higher Viterra synergies, maturing capital projects, and a larger global network. The risk is that investors are already anticipating that outcome, leaving little room for execution slippage.</w:t>
      </w:r>
    </w:p>
    <w:bookmarkEnd w:id="15"/>
    <w:bookmarkStart w:id="16" w:name="Xe754953e51a770784bb90b99c741e8ea8ce31ab"/>
    <w:p>
      <w:pPr>
        <w:pStyle w:val="Heading2"/>
      </w:pPr>
      <w:r>
        <w:t xml:space="preserve">Balance sheet, cash flow, and capital allocation</w:t>
      </w:r>
    </w:p>
    <w:p>
      <w:pPr>
        <w:pStyle w:val="FirstParagraph"/>
      </w:pPr>
      <w:r>
        <w:t xml:space="preserve">Bunge’s working-capital-intensive model makes cash flow and leverage as important as headline earnings.</w:t>
      </w:r>
    </w:p>
    <w:p>
      <w:pPr>
        <w:pStyle w:val="BodyText"/>
      </w:pPr>
      <w:r>
        <w:t xml:space="preserve">At the end of 1Q, the company had:</w:t>
      </w:r>
    </w:p>
    <w:p>
      <w:pPr>
        <w:pStyle w:val="Compact"/>
        <w:numPr>
          <w:ilvl w:val="0"/>
          <w:numId w:val="1007"/>
        </w:numPr>
      </w:pPr>
      <m:oMath>
        <m:r>
          <m:t>15.4</m:t>
        </m:r>
        <m:r>
          <m:t>b</m:t>
        </m:r>
        <m:r>
          <m:t>n</m:t>
        </m:r>
        <m:r>
          <m:t>o</m:t>
        </m:r>
        <m:r>
          <m:t>f</m:t>
        </m:r>
        <m:r>
          <m:t>i</m:t>
        </m:r>
        <m:r>
          <m:t>n</m:t>
        </m:r>
        <m:r>
          <m:t>v</m:t>
        </m:r>
        <m:r>
          <m:t>e</m:t>
        </m:r>
        <m:r>
          <m:t>n</m:t>
        </m:r>
        <m:r>
          <m:t>t</m:t>
        </m:r>
        <m:r>
          <m:t>o</m:t>
        </m:r>
        <m:r>
          <m:t>r</m:t>
        </m:r>
        <m:r>
          <m:t>i</m:t>
        </m:r>
        <m:r>
          <m:t>e</m:t>
        </m:r>
        <m:r>
          <m:t>s</m:t>
        </m:r>
        <m:r>
          <m:rPr>
            <m:sty m:val="p"/>
          </m:rPr>
          <m:t>*</m:t>
        </m:r>
        <m:r>
          <m:rPr>
            <m:sty m:val="p"/>
          </m:rPr>
          <m:t>*</m:t>
        </m:r>
        <m:r>
          <m:rPr>
            <m:sty m:val="p"/>
          </m:rPr>
          <m:t>,</m:t>
        </m:r>
        <m:r>
          <m:t>i</m:t>
        </m:r>
        <m:r>
          <m:t>n</m:t>
        </m:r>
        <m:r>
          <m:t>c</m:t>
        </m:r>
        <m:r>
          <m:t>l</m:t>
        </m:r>
        <m:r>
          <m:t>u</m:t>
        </m:r>
        <m:r>
          <m:t>d</m:t>
        </m:r>
        <m:r>
          <m:t>i</m:t>
        </m:r>
        <m:r>
          <m:t>n</m:t>
        </m:r>
        <m:r>
          <m:t>g</m:t>
        </m:r>
        <m:r>
          <m:rPr>
            <m:sty m:val="p"/>
          </m:rPr>
          <m:t>*</m:t>
        </m:r>
        <m:r>
          <m:rPr>
            <m:sty m:val="p"/>
          </m:rPr>
          <m:t>*</m:t>
        </m:r>
      </m:oMath>
      <w:r>
        <w:rPr>
          <w:b/>
          <w:bCs/>
        </w:rPr>
        <w:t xml:space="preserve">13.4bn of readily marketable inventories (RMI)</w:t>
      </w:r>
      <w:r>
        <w:t xml:space="preserve">;</w:t>
      </w:r>
    </w:p>
    <w:p>
      <w:pPr>
        <w:pStyle w:val="Compact"/>
        <w:numPr>
          <w:ilvl w:val="0"/>
          <w:numId w:val="1007"/>
        </w:numPr>
      </w:pPr>
      <w:r>
        <w:rPr>
          <w:b/>
          <w:bCs/>
        </w:rPr>
        <w:t xml:space="preserve">$13.2bn of total debt</w:t>
      </w:r>
      <w:r>
        <w:t xml:space="preserve"> </w:t>
      </w:r>
      <w:r>
        <w:t xml:space="preserve">including current maturities;</w:t>
      </w:r>
    </w:p>
    <w:p>
      <w:pPr>
        <w:pStyle w:val="Compact"/>
        <w:numPr>
          <w:ilvl w:val="0"/>
          <w:numId w:val="1007"/>
        </w:numPr>
      </w:pPr>
      <w:r>
        <w:t xml:space="preserve">Adjusted leverage of</w:t>
      </w:r>
      <w:r>
        <w:t xml:space="preserve"> </w:t>
      </w:r>
      <w:r>
        <w:rPr>
          <w:b/>
          <w:bCs/>
        </w:rPr>
        <w:t xml:space="preserve">1.6x</w:t>
      </w:r>
      <w:r>
        <w:t xml:space="preserve">; and</w:t>
      </w:r>
    </w:p>
    <w:p>
      <w:pPr>
        <w:pStyle w:val="Compact"/>
        <w:numPr>
          <w:ilvl w:val="0"/>
          <w:numId w:val="1007"/>
        </w:numPr>
      </w:pPr>
      <w:r>
        <w:t xml:space="preserve">Approximately</w:t>
      </w:r>
      <w:r>
        <w:t xml:space="preserve"> </w:t>
      </w:r>
      <w:r>
        <w:rPr>
          <w:b/>
          <w:bCs/>
        </w:rPr>
        <w:t xml:space="preserve">$9.7bn</w:t>
      </w:r>
      <w:r>
        <w:t xml:space="preserve"> </w:t>
      </w:r>
      <w:r>
        <w:t xml:space="preserve">of unused committed credit facilities, plus largely unused commercial-paper capacity.</w:t>
      </w:r>
    </w:p>
    <w:p>
      <w:pPr>
        <w:pStyle w:val="FirstParagraph"/>
      </w:pPr>
      <w:r>
        <w:t xml:space="preserve">Management views RMI as economically important and generally financeable, but investors should still monitor changes in inventory, margin deposits, short-term debt, and operating cash flow—especially in a period of elevated commodity prices and geopolitical/logistics disruption.</w:t>
      </w:r>
    </w:p>
    <w:p>
      <w:pPr>
        <w:pStyle w:val="BodyText"/>
      </w:pPr>
      <w:r>
        <w:t xml:space="preserve">Capital allocation is also becoming more shareholder-oriented. Bunge aims over the cycle to return roughly</w:t>
      </w:r>
      <w:r>
        <w:t xml:space="preserve"> </w:t>
      </w:r>
      <w:r>
        <w:rPr>
          <w:b/>
          <w:bCs/>
        </w:rPr>
        <w:t xml:space="preserve">50% of discretionary cash flow</w:t>
      </w:r>
      <w:r>
        <w:t xml:space="preserve"> </w:t>
      </w:r>
      <w:r>
        <w:t xml:space="preserve">through dividends and repurchases, while completing the remaining</w:t>
      </w:r>
      <w:r>
        <w:t xml:space="preserve"> </w:t>
      </w:r>
      <w:r>
        <w:rPr>
          <w:b/>
          <w:bCs/>
        </w:rPr>
        <w:t xml:space="preserve">$250m</w:t>
      </w:r>
      <w:r>
        <w:t xml:space="preserve"> </w:t>
      </w:r>
      <w:r>
        <w:t xml:space="preserve">of Viterra-related buybacks during 2026. Any indication that cash generation is exceeding planned investment needs could support expectations for additional repurchases, though management has also highlighted a desire to maintain credit-metric flexibility.</w:t>
      </w:r>
    </w:p>
    <w:bookmarkEnd w:id="16"/>
    <w:bookmarkStart w:id="17" w:name="stock-setup"/>
    <w:p>
      <w:pPr>
        <w:pStyle w:val="Heading2"/>
      </w:pPr>
      <w:r>
        <w:t xml:space="preserve">Stock setup</w:t>
      </w:r>
    </w:p>
    <w:p>
      <w:pPr>
        <w:pStyle w:val="FirstParagraph"/>
      </w:pPr>
      <w:r>
        <w:t xml:space="preserve">BG closed at</w:t>
      </w:r>
      <w:r>
        <w:t xml:space="preserve"> </w:t>
      </w:r>
      <w:r>
        <w:rPr>
          <w:b/>
          <w:bCs/>
        </w:rPr>
        <w:t xml:space="preserve">$117.40 on July 28</w:t>
      </w:r>
      <w:r>
        <w:t xml:space="preserve">, recovering roughly</w:t>
      </w:r>
      <w:r>
        <w:t xml:space="preserve"> </w:t>
      </w:r>
      <w:r>
        <w:rPr>
          <w:b/>
          <w:bCs/>
        </w:rPr>
        <w:t xml:space="preserve">11.9%</w:t>
      </w:r>
      <w:r>
        <w:t xml:space="preserve"> </w:t>
      </w:r>
      <w:r>
        <w:t xml:space="preserve">from its July 1 close, but remaining about</w:t>
      </w:r>
      <w:r>
        <w:t xml:space="preserve"> </w:t>
      </w:r>
      <w:r>
        <w:rPr>
          <w:b/>
          <w:bCs/>
        </w:rPr>
        <w:t xml:space="preserve">9.7% below</w:t>
      </w:r>
      <w:r>
        <w:t xml:space="preserve"> </w:t>
      </w:r>
      <w:r>
        <w:t xml:space="preserve">its June 1 close. That pattern suggests the shares have already recovered some optimism around the oilseed/biofuel and integration narrative, while still reflecting uncertainty around the durability of earnings, freight and geopolitical costs, and the second-half margin outlook.</w:t>
      </w:r>
    </w:p>
    <w:bookmarkEnd w:id="17"/>
    <w:bookmarkStart w:id="21" w:name="bull-base-and-bear-scenarios"/>
    <w:p>
      <w:pPr>
        <w:pStyle w:val="Heading2"/>
      </w:pPr>
      <w:r>
        <w:t xml:space="preserve">Bull, base, and bear scenarios</w:t>
      </w:r>
    </w:p>
    <w:bookmarkStart w:id="18" w:name="bull-case"/>
    <w:p>
      <w:pPr>
        <w:pStyle w:val="Heading3"/>
      </w:pPr>
      <w:r>
        <w:t xml:space="preserve">Bull case</w:t>
      </w:r>
    </w:p>
    <w:p>
      <w:pPr>
        <w:pStyle w:val="Compact"/>
        <w:numPr>
          <w:ilvl w:val="0"/>
          <w:numId w:val="1008"/>
        </w:numPr>
      </w:pPr>
      <w:r>
        <w:t xml:space="preserve">Oilseed processing and merchandising remain strong across North and South America;</w:t>
      </w:r>
    </w:p>
    <w:p>
      <w:pPr>
        <w:pStyle w:val="Compact"/>
        <w:numPr>
          <w:ilvl w:val="0"/>
          <w:numId w:val="1008"/>
        </w:numPr>
      </w:pPr>
      <w:r>
        <w:t xml:space="preserve">Bunge beats the implied 2Q cadence;</w:t>
      </w:r>
    </w:p>
    <w:p>
      <w:pPr>
        <w:pStyle w:val="Compact"/>
        <w:numPr>
          <w:ilvl w:val="0"/>
          <w:numId w:val="1008"/>
        </w:numPr>
      </w:pPr>
      <w:r>
        <w:t xml:space="preserve">Full-year guidance is raised or the range shifts upward;</w:t>
      </w:r>
    </w:p>
    <w:p>
      <w:pPr>
        <w:pStyle w:val="Compact"/>
        <w:numPr>
          <w:ilvl w:val="0"/>
          <w:numId w:val="1008"/>
        </w:numPr>
      </w:pPr>
      <w:r>
        <w:t xml:space="preserve">Cost and commercial synergy realization is ahead of expectations;</w:t>
      </w:r>
    </w:p>
    <w:p>
      <w:pPr>
        <w:pStyle w:val="Compact"/>
        <w:numPr>
          <w:ilvl w:val="0"/>
          <w:numId w:val="1008"/>
        </w:numPr>
      </w:pPr>
      <w:r>
        <w:t xml:space="preserve">Grain freight pressure moderates; and</w:t>
      </w:r>
    </w:p>
    <w:p>
      <w:pPr>
        <w:pStyle w:val="Compact"/>
        <w:numPr>
          <w:ilvl w:val="0"/>
          <w:numId w:val="1008"/>
        </w:numPr>
      </w:pPr>
      <w:r>
        <w:t xml:space="preserve">Management offers improved visibility into 2H margins and customer coverage.</w:t>
      </w:r>
    </w:p>
    <w:bookmarkEnd w:id="18"/>
    <w:bookmarkStart w:id="19" w:name="base-case"/>
    <w:p>
      <w:pPr>
        <w:pStyle w:val="Heading3"/>
      </w:pPr>
      <w:r>
        <w:t xml:space="preserve">Base case</w:t>
      </w:r>
    </w:p>
    <w:p>
      <w:pPr>
        <w:pStyle w:val="Compact"/>
        <w:numPr>
          <w:ilvl w:val="0"/>
          <w:numId w:val="1009"/>
        </w:numPr>
      </w:pPr>
      <w:r>
        <w:t xml:space="preserve">Adjusted EPS lands around the implied ~$1.9 level;</w:t>
      </w:r>
    </w:p>
    <w:p>
      <w:pPr>
        <w:pStyle w:val="Compact"/>
        <w:numPr>
          <w:ilvl w:val="0"/>
          <w:numId w:val="1009"/>
        </w:numPr>
      </w:pPr>
      <w:r>
        <w:t xml:space="preserve">Guidance is reaffirmed at</w:t>
      </w:r>
      <w:r>
        <w:t xml:space="preserve"> </w:t>
      </w:r>
      <m:oMath>
        <m:r>
          <m:t>9.00</m:t>
        </m:r>
        <m:r>
          <m:rPr>
            <m:sty m:val="p"/>
          </m:rPr>
          <m:t>–</m:t>
        </m:r>
      </m:oMath>
      <w:r>
        <w:t xml:space="preserve">9.50;</w:t>
      </w:r>
    </w:p>
    <w:p>
      <w:pPr>
        <w:pStyle w:val="Compact"/>
        <w:numPr>
          <w:ilvl w:val="0"/>
          <w:numId w:val="1009"/>
        </w:numPr>
      </w:pPr>
      <w:r>
        <w:t xml:space="preserve">Soybean and softseed strength offsets softer tropical oils, higher interest/tax, and elevated corporate expense;</w:t>
      </w:r>
    </w:p>
    <w:p>
      <w:pPr>
        <w:pStyle w:val="Compact"/>
        <w:numPr>
          <w:ilvl w:val="0"/>
          <w:numId w:val="1009"/>
        </w:numPr>
      </w:pPr>
      <w:r>
        <w:t xml:space="preserve">Grain remains mixed; and</w:t>
      </w:r>
    </w:p>
    <w:p>
      <w:pPr>
        <w:pStyle w:val="Compact"/>
        <w:numPr>
          <w:ilvl w:val="0"/>
          <w:numId w:val="1009"/>
        </w:numPr>
      </w:pPr>
      <w:r>
        <w:t xml:space="preserve">Viterra synergy commentary remains positive but without a material target increase.</w:t>
      </w:r>
    </w:p>
    <w:bookmarkEnd w:id="19"/>
    <w:bookmarkStart w:id="20" w:name="bear-case"/>
    <w:p>
      <w:pPr>
        <w:pStyle w:val="Heading3"/>
      </w:pPr>
      <w:r>
        <w:t xml:space="preserve">Bear case</w:t>
      </w:r>
    </w:p>
    <w:p>
      <w:pPr>
        <w:pStyle w:val="Compact"/>
        <w:numPr>
          <w:ilvl w:val="0"/>
          <w:numId w:val="1010"/>
        </w:numPr>
      </w:pPr>
      <w:r>
        <w:t xml:space="preserve">Oilseed margins or origination weaken more quickly than expected;</w:t>
      </w:r>
    </w:p>
    <w:p>
      <w:pPr>
        <w:pStyle w:val="Compact"/>
        <w:numPr>
          <w:ilvl w:val="0"/>
          <w:numId w:val="1010"/>
        </w:numPr>
      </w:pPr>
      <w:r>
        <w:t xml:space="preserve">Grain freight/logistics costs stay elevated;</w:t>
      </w:r>
    </w:p>
    <w:p>
      <w:pPr>
        <w:pStyle w:val="Compact"/>
        <w:numPr>
          <w:ilvl w:val="0"/>
          <w:numId w:val="1010"/>
        </w:numPr>
      </w:pPr>
      <w:r>
        <w:t xml:space="preserve">Tropical Oils deteriorates further;</w:t>
      </w:r>
    </w:p>
    <w:p>
      <w:pPr>
        <w:pStyle w:val="Compact"/>
        <w:numPr>
          <w:ilvl w:val="0"/>
          <w:numId w:val="1010"/>
        </w:numPr>
      </w:pPr>
      <w:r>
        <w:t xml:space="preserve">Guidance is narrowed or de-risked due to weak 2H visibility;</w:t>
      </w:r>
    </w:p>
    <w:p>
      <w:pPr>
        <w:pStyle w:val="Compact"/>
        <w:numPr>
          <w:ilvl w:val="0"/>
          <w:numId w:val="1010"/>
        </w:numPr>
      </w:pPr>
      <w:r>
        <w:t xml:space="preserve">Working-capital and financing needs rise; or</w:t>
      </w:r>
    </w:p>
    <w:p>
      <w:pPr>
        <w:pStyle w:val="Compact"/>
        <w:numPr>
          <w:ilvl w:val="0"/>
          <w:numId w:val="1010"/>
        </w:numPr>
      </w:pPr>
      <w:r>
        <w:t xml:space="preserve">Integration costs or synergy timing disappoint.</w:t>
      </w:r>
    </w:p>
    <w:bookmarkEnd w:id="20"/>
    <w:bookmarkEnd w:id="21"/>
    <w:bookmarkStart w:id="22" w:name="bottom-line"/>
    <w:p>
      <w:pPr>
        <w:pStyle w:val="Heading2"/>
      </w:pPr>
      <w:r>
        <w:t xml:space="preserve">Bottom line</w:t>
      </w:r>
    </w:p>
    <w:p>
      <w:pPr>
        <w:pStyle w:val="FirstParagraph"/>
      </w:pPr>
      <w:r>
        <w:t xml:space="preserve">Bunge’s 2Q report is best viewed as a test of whether 1Q represented the beginning of a more durable earnings step-up. The most investable signals would be:</w:t>
      </w:r>
      <w:r>
        <w:t xml:space="preserve"> </w:t>
      </w:r>
      <w:r>
        <w:rPr>
          <w:b/>
          <w:bCs/>
        </w:rPr>
        <w:t xml:space="preserve">continued strength in soy and softseed value chains, preservation of the</w:t>
      </w:r>
      <w:r>
        <w:rPr>
          <w:b/>
          <w:bCs/>
        </w:rPr>
        <w:t xml:space="preserve"> </w:t>
      </w:r>
      <m:oMath>
        <m:r>
          <m:t>9.00</m:t>
        </m:r>
        <m:r>
          <m:rPr>
            <m:sty m:val="p"/>
          </m:rPr>
          <m:t>–</m:t>
        </m:r>
      </m:oMath>
      <w:r>
        <w:rPr>
          <w:b/>
          <w:bCs/>
        </w:rPr>
        <w:t xml:space="preserve">9.50 outlook, credible evidence of faster Viterra synergy realization, and stable leverage despite seasonal working-capital demands.</w:t>
      </w:r>
    </w:p>
    <w:p>
      <w:pPr>
        <w:pStyle w:val="BodyText"/>
      </w:pPr>
      <w:r>
        <w:t xml:space="preserve">Conversely, investors should be alert to any indication that the 1Q upgrade was mainly a short-lived first-half benefit, particularly if management becomes more cautious on oilseed curves, freight, tropical oils, or second-half customer commitments.</w:t>
      </w:r>
    </w:p>
    <w:bookmarkEnd w:id="22"/>
    <w:bookmarkEnd w:id="23"/>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2026-07-29T00:12:22Z</dcterms:created>
  <dcterms:modified xsi:type="dcterms:W3CDTF">2026-07-29T00:12:22Z</dcterms:modified>
</cp:coreProperties>
</file>

<file path=docProps/custom.xml><?xml version="1.0" encoding="utf-8"?>
<Properties xmlns="http://schemas.openxmlformats.org/officeDocument/2006/custom-properties" xmlns:vt="http://schemas.openxmlformats.org/officeDocument/2006/docPropsVTypes"/>
</file>