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coin-earnings-predictions--2026-07-30"/>
    <w:p>
      <w:pPr>
        <w:pStyle w:val="Heading1"/>
      </w:pPr>
      <w:r>
        <w:t xml:space="preserve">COIN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COIN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Total net revenue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~$1.22B vs. cons $1.26B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COIN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Transaction revenue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~$620M vs. cons $650M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COIN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Subscription and services revenue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~$600M vs. cons $605M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COIN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Subscription and services revenue outlook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~$595M vs. cons $625M (Q3 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COIN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Transaction revenue quarter-to-date disclosure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~$300M vs. cons $315M (Q3 2026 through July)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COIN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Technology, development and G&amp;A expense outlook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~$800M vs. cons $830M (Q3 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COIN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-8.0%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COIN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-11.0% (FOLLOW-THROUGH)</w:t>
            </w:r>
          </w:p>
        </w:tc>
        <w:tc>
          <w:tcPr/>
          <w:p>
            <w:pPr>
              <w:pStyle w:val="Compact"/>
            </w:pPr>
            <w:r>
              <w:t xml:space="preserve">Expected ~$1.22B revenue versus</w:t>
            </w:r>
            <w:r>
              <w:t xml:space="preserve"> </w:t>
            </w:r>
            <m:oMath>
              <m:r>
                <m:t>1.26</m:t>
              </m:r>
              <m:r>
                <m:t>B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e</m:t>
              </m:r>
              <m:r>
                <m:t>n</m:t>
              </m:r>
              <m:r>
                <m:t>s</m:t>
              </m:r>
              <m:r>
                <m:t>u</m:t>
              </m:r>
              <m:r>
                <m:t>s</m:t>
              </m:r>
              <m:r>
                <m:t>a</m:t>
              </m:r>
              <m:r>
                <m:t>n</m:t>
              </m:r>
              <m:r>
                <m:t>d</m:t>
              </m:r>
              <m:r>
                <m:t> </m:t>
              </m:r>
            </m:oMath>
            <w:r>
              <w:t xml:space="preserve">595M Q3 subscription/services guide versus</w:t>
            </w:r>
            <w:r>
              <w:t xml:space="preserve"> </w:t>
            </w:r>
            <m:oMath>
              <m:r>
                <m:t>625</m:t>
              </m:r>
              <m:r>
                <m:t>M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e</m:t>
              </m:r>
              <m:r>
                <m:t>n</m:t>
              </m:r>
              <m:r>
                <m:t>s</m:t>
              </m:r>
              <m:r>
                <m:t>u</m:t>
              </m:r>
              <m:r>
                <m:t>s</m:t>
              </m:r>
              <m:r>
                <m:t>i</m:t>
              </m:r>
              <m:r>
                <m:t>m</m:t>
              </m:r>
              <m:r>
                <m:t>p</m:t>
              </m:r>
              <m:r>
                <m:t>l</m:t>
              </m:r>
              <m:r>
                <m:t>y</m:t>
              </m:r>
              <m:r>
                <m:t>o</m:t>
              </m:r>
              <m:r>
                <m:t>u</m:t>
              </m:r>
              <m:r>
                <m:t>t</m:t>
              </m:r>
              <m:r>
                <m:rPr>
                  <m:sty m:val="p"/>
                </m:rPr>
                <m:t>−</m:t>
              </m:r>
              <m:r>
                <m:t>p</m:t>
              </m:r>
              <m:r>
                <m:t>e</m:t>
              </m:r>
              <m:r>
                <m:t>r</m:t>
              </m:r>
              <m:r>
                <m:t>i</m:t>
              </m:r>
              <m:r>
                <m:t>o</m:t>
              </m:r>
              <m:r>
                <m:t>d</m:t>
              </m:r>
              <m:r>
                <m:t>e</m:t>
              </m:r>
              <m:r>
                <m:t>s</m:t>
              </m:r>
              <m:r>
                <m:t>t</m:t>
              </m:r>
              <m:r>
                <m:t>i</m:t>
              </m:r>
              <m:r>
                <m:t>m</m:t>
              </m:r>
              <m:r>
                <m:t>a</m:t>
              </m:r>
              <m:r>
                <m:t>t</m:t>
              </m:r>
              <m:r>
                <m:t>e</m:t>
              </m:r>
              <m:r>
                <m:t>c</m:t>
              </m:r>
              <m:r>
                <m:t>u</m:t>
              </m:r>
              <m:r>
                <m:t>t</m:t>
              </m:r>
              <m:r>
                <m:t>s</m:t>
              </m:r>
              <m:r>
                <m:t>d</m:t>
              </m:r>
              <m:r>
                <m:t>e</m:t>
              </m:r>
              <m:r>
                <m:t>s</m:t>
              </m:r>
              <m:r>
                <m:t>p</m:t>
              </m:r>
              <m:r>
                <m:t>i</m:t>
              </m:r>
              <m:r>
                <m:t>t</m:t>
              </m:r>
              <m:r>
                <m:t>e</m:t>
              </m:r>
              <m:r>
                <m:t>a</m:t>
              </m:r>
              <m:r>
                <m:t>n</m:t>
              </m:r>
              <m:r>
                <m:t> </m:t>
              </m:r>
            </m:oMath>
            <w:r>
              <w:t xml:space="preserve">800M expense guide versus $830M consensus.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2026-07-29T19:21:54Z</dcterms:created>
  <dcterms:modified xsi:type="dcterms:W3CDTF">2026-07-29T19:21:54Z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