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crh-earnings-predictions--2026-07-30"/>
    <w:p>
      <w:pPr>
        <w:pStyle w:val="Heading1"/>
      </w:pPr>
      <w:r>
        <w:t xml:space="preserve">CRH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Total 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~$10.85bn vs. cons $10.70bn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~$2.64bn vs. cons $2.60bn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~$2.06 vs. cons $2.03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~$8.30bn midpoint vs. cons $8.34bn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diluted EPS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~$5.83 midpoint vs. cons $5.96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Arcosa pro-forma net-debt-to-Adjusted-EBITDA commentary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~2.4x vs. cons 2.4x (Q1 2027 closing)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CRH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+0.3% (FADE)</w:t>
            </w:r>
          </w:p>
        </w:tc>
        <w:tc>
          <w:tcPr/>
          <w:p>
            <w:pPr>
              <w:pStyle w:val="Compact"/>
            </w:pPr>
            <w:r>
              <w:t xml:space="preserve">A ~$2.64bn Q2 Adjusted EBITDA result versus</w:t>
            </w:r>
            <w:r>
              <w:t xml:space="preserve"> </w:t>
            </w:r>
            <m:oMath>
              <m:r>
                <m:t>2.60</m:t>
              </m:r>
              <m:r>
                <m:t>b</m:t>
              </m:r>
              <m:r>
                <m:t>n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s</m:t>
              </m:r>
              <m:r>
                <m:t>u</m:t>
              </m:r>
              <m:r>
                <m:t>p</m:t>
              </m:r>
              <m:r>
                <m:t>p</m:t>
              </m:r>
              <m:r>
                <m:t>o</m:t>
              </m:r>
              <m:r>
                <m:t>r</m:t>
              </m:r>
              <m:r>
                <m:t>t</m:t>
              </m:r>
              <m:r>
                <m:t>s</m:t>
              </m:r>
              <m:r>
                <m:t>a</m:t>
              </m:r>
              <m:r>
                <m:t>n</m:t>
              </m:r>
              <m:r>
                <m:t>i</m:t>
              </m:r>
              <m:r>
                <m:t>n</m:t>
              </m:r>
              <m:r>
                <m:t>i</m:t>
              </m:r>
              <m:r>
                <m:t>t</m:t>
              </m:r>
              <m:r>
                <m:t>i</m:t>
              </m:r>
              <m:r>
                <m:t>a</m:t>
              </m:r>
              <m:r>
                <m:t>l</m:t>
              </m:r>
              <m:r>
                <m:t>p</m:t>
              </m:r>
              <m:r>
                <m:t>o</m:t>
              </m:r>
              <m:r>
                <m:t>s</m:t>
              </m:r>
              <m:r>
                <m:t>i</m:t>
              </m:r>
              <m:r>
                <m:t>t</m:t>
              </m:r>
              <m:r>
                <m:t>i</m:t>
              </m:r>
              <m:r>
                <m:t>v</m:t>
              </m:r>
              <m:r>
                <m:t>e</m:t>
              </m:r>
              <m:r>
                <m:t>r</m:t>
              </m:r>
              <m:r>
                <m:t>e</m:t>
              </m:r>
              <m:r>
                <m:t>a</m:t>
              </m:r>
              <m:r>
                <m:t>c</m:t>
              </m:r>
              <m:r>
                <m:t>t</m:t>
              </m:r>
              <m:r>
                <m:t>i</m:t>
              </m:r>
              <m:r>
                <m:t>o</m:t>
              </m:r>
              <m:r>
                <m:t>n</m:t>
              </m:r>
              <m:r>
                <m:rPr>
                  <m:sty m:val="p"/>
                </m:rPr>
                <m:t>,</m:t>
              </m:r>
              <m:r>
                <m:t>b</m:t>
              </m:r>
              <m:r>
                <m:t>u</m:t>
              </m:r>
              <m:r>
                <m:t>t</m:t>
              </m:r>
              <m:r>
                <m:t>a</m:t>
              </m:r>
              <m:r>
                <m:t>n</m:t>
              </m:r>
              <m:r>
                <m:t>u</m:t>
              </m:r>
              <m:r>
                <m:t>n</m:t>
              </m:r>
              <m:r>
                <m:t>c</m:t>
              </m:r>
              <m:r>
                <m:t>h</m:t>
              </m:r>
              <m:r>
                <m:t>a</m:t>
              </m:r>
              <m:r>
                <m:t>n</m:t>
              </m:r>
              <m:r>
                <m:t>g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8.30bn FY2026 EBITDA midpoint versus</w:t>
            </w:r>
            <w:r>
              <w:t xml:space="preserve"> </w:t>
            </w:r>
            <m:oMath>
              <m:r>
                <m:t>8.34</m:t>
              </m:r>
              <m:r>
                <m:t>b</m:t>
              </m:r>
              <m:r>
                <m:t>n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i</m:t>
              </m:r>
              <m:r>
                <m:t>m</m:t>
              </m:r>
              <m:r>
                <m:t>p</m:t>
              </m:r>
              <m:r>
                <m:t>l</m:t>
              </m:r>
              <m:r>
                <m:t>i</m:t>
              </m:r>
              <m:r>
                <m:t>e</m:t>
              </m:r>
              <m:r>
                <m:t>s</m:t>
              </m:r>
              <m:r>
                <m:t> </m:t>
              </m:r>
            </m:oMath>
            <w:r>
              <w:t xml:space="preserve">5.07bn of H2 EBITDA versus roughly</w:t>
            </w:r>
            <w:r>
              <w:t xml:space="preserve"> </w:t>
            </w:r>
            <m:oMath>
              <m:r>
                <m:t>5.15</m:t>
              </m:r>
              <m:r>
                <m:t>b</m:t>
              </m:r>
              <m:r>
                <m:t>n</m:t>
              </m:r>
              <m:r>
                <m:t>i</m:t>
              </m:r>
              <m:r>
                <m:t>m</m:t>
              </m:r>
              <m:r>
                <m:t>p</m:t>
              </m:r>
              <m:r>
                <m:t>l</m:t>
              </m:r>
              <m:r>
                <m:t>i</m:t>
              </m:r>
              <m:r>
                <m:t>e</m:t>
              </m:r>
              <m:r>
                <m:t>d</m:t>
              </m:r>
              <m:r>
                <m:t>b</m:t>
              </m:r>
              <m:r>
                <m:t>y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T</m:t>
              </m:r>
              <m:r>
                <m:t>h</m:t>
              </m:r>
              <m:r>
                <m:t>e</m:t>
              </m:r>
              <m:r>
                <m:t>m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o</m:t>
              </m:r>
              <m:r>
                <m:t>u</m:t>
              </m:r>
              <m:r>
                <m:t>t</m:t>
              </m:r>
              <m:r>
                <m:rPr>
                  <m:sty m:val="p"/>
                </m:rPr>
                <m:t>−</m:t>
              </m:r>
              <m:r>
                <m:t>p</m:t>
              </m:r>
              <m:r>
                <m:t>e</m:t>
              </m:r>
              <m:r>
                <m:t>r</m:t>
              </m:r>
              <m:r>
                <m:t>i</m:t>
              </m:r>
              <m:r>
                <m:t>o</m:t>
              </m:r>
              <m:r>
                <m:t>d</m:t>
              </m:r>
              <m:r>
                <m:t>s</m:t>
              </m:r>
              <m:r>
                <m:t>h</m:t>
              </m:r>
              <m:r>
                <m:t>o</m:t>
              </m:r>
              <m:r>
                <m:t>r</m:t>
              </m:r>
              <m:r>
                <m:t>t</m:t>
              </m:r>
              <m:r>
                <m:t>f</m:t>
              </m:r>
              <m:r>
                <m:t>a</m:t>
              </m:r>
              <m:r>
                <m:t>l</m:t>
              </m:r>
              <m:r>
                <m:t>l</m:t>
              </m:r>
              <m:r>
                <m:rPr>
                  <m:sty m:val="p"/>
                </m:rPr>
                <m:t>,</m:t>
              </m:r>
              <m:r>
                <m:t>t</m:t>
              </m:r>
              <m:r>
                <m:t>o</m:t>
              </m:r>
              <m:r>
                <m:t>g</m:t>
              </m:r>
              <m:r>
                <m:t>e</m:t>
              </m:r>
              <m:r>
                <m:t>t</m:t>
              </m:r>
              <m:r>
                <m:t>h</m:t>
              </m:r>
              <m:r>
                <m:t>e</m:t>
              </m:r>
              <m:r>
                <m:t>r</m:t>
              </m:r>
              <m:r>
                <m:t>w</m:t>
              </m:r>
              <m:r>
                <m:t>i</m:t>
              </m:r>
              <m:r>
                <m:t>t</m:t>
              </m:r>
              <m:r>
                <m:t>h</m:t>
              </m:r>
              <m:r>
                <m:t>u</m:t>
              </m:r>
              <m:r>
                <m:t>n</m:t>
              </m:r>
              <m:r>
                <m:t>c</m:t>
              </m:r>
              <m:r>
                <m:t>h</m:t>
              </m:r>
              <m:r>
                <m:t>a</m:t>
              </m:r>
              <m:r>
                <m:t>n</m:t>
              </m:r>
              <m:r>
                <m:t>g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5.83 FY EPS midpoint versus $5.96 consensus and ongoing Arcosa financing scrutiny, should limit estimate revisions and fade the initial beat.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2026-07-29T17:55:08Z</dcterms:created>
  <dcterms:modified xsi:type="dcterms:W3CDTF">2026-07-29T17:55:08Z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