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hlt-earnings-predictions--2026-07-28"/>
    <w:p>
      <w:pPr>
        <w:pStyle w:val="Heading1"/>
      </w:pPr>
      <w:r>
        <w:t xml:space="preserve">HLT Earnings Predictions — 2026-07-28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HLT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System-wide comparable RevPAR growth</w:t>
            </w:r>
          </w:p>
        </w:tc>
        <w:tc>
          <w:tcPr/>
          <w:p>
            <w:pPr>
              <w:pStyle w:val="Compact"/>
            </w:pPr>
            <w:r>
              <w:t xml:space="preserve">MISS</w:t>
            </w:r>
          </w:p>
        </w:tc>
        <w:tc>
          <w:tcPr/>
          <w:p>
            <w:pPr>
              <w:pStyle w:val="Compact"/>
            </w:pPr>
            <w:r>
              <w:t xml:space="preserve">pred ~2.2% vs. cons 2.5%.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HLT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EBITDA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~$1.028B vs. cons $1.030B.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HLT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EPS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~$2.23 vs. cons $2.25.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HLT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System-wide comparable RevPAR growth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~2.5% midpoint vs. cons 2.5% (FY2026).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HLT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Adjusted EBITDA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~$4.040B midpoint vs. cons $4.050B (FY2026).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HLT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Adjusted EPS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~$8.85 midpoint vs. cons $8.90 (FY2026).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HLT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Net unit growth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~6.5% midpoint vs. cons 6.5% (FY2026).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HLT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Capital return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~$3.50B vs. cons $3.50B (FY2026).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HLT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-2.5%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HLT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-1.0% (FADE)</w:t>
            </w:r>
          </w:p>
        </w:tc>
        <w:tc>
          <w:tcPr/>
          <w:p>
            <w:pPr>
              <w:pStyle w:val="Compact"/>
            </w:pPr>
            <w:r>
              <w:t xml:space="preserve">The initial -2.5% residual selloff should fade toward -1.0% over five days: a ~2.2% RevPAR print versus 2.5% consensus is disappointing, but retained ~2.5% FY2026 RevPAR and ~$4.040B EBITDA frameworks limit out-period estimate cuts.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2026-07-28T00:32:42Z</dcterms:created>
  <dcterms:modified xsi:type="dcterms:W3CDTF">2026-07-28T00:32:42Z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