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pg-earnings-predictions--2026-07-29"/>
    <w:p>
      <w:pPr>
        <w:pStyle w:val="Heading1"/>
      </w:pPr>
      <w:r>
        <w:t xml:space="preserve">PG Earnings Predictions — 2026-07-29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Organic sales growth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~2.4% vs. cons 2.1%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Core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~$1.44 vs. cons $1.42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Core operating margin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~19.6% vs. cons 20.0%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Fiscal 2027 organic sales growth guidance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~3.0% vs. cons 2.8% (fiscal 2027)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Fiscal 2027 core EPS growth guidance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~2.0% vs. cons 4.3% (fiscal 2027)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Fiscal 2027 commodity, tariff and restructuring cost headwind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1.1</m:t>
              </m:r>
              <m:r>
                <m:t>B</m:t>
              </m:r>
              <m:r>
                <m:t>p</m:t>
              </m:r>
              <m:r>
                <m:t>r</m:t>
              </m:r>
              <m:r>
                <m:t>e</m:t>
              </m:r>
              <m:r>
                <m:t>t</m:t>
              </m:r>
              <m:r>
                <m:t>a</m:t>
              </m:r>
              <m:r>
                <m:t>x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0.8B pretax (fiscal 2027)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-1.8%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PG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-3.5% (FOLLOW-THROUGH)</w:t>
            </w:r>
          </w:p>
        </w:tc>
        <w:tc>
          <w:tcPr/>
          <w:p>
            <w:pPr>
              <w:pStyle w:val="Compact"/>
            </w:pPr>
            <w:r>
              <w:t xml:space="preserve">A modest quarterly organic-sales and EPS beat is likely outweighed by fiscal-2027 core-EPS guidance of ~2.0% versus ~4.3% consensus: the implied out-period margin and productivity math drives estimate cuts despite the beat.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2026-07-29T00:22:40Z</dcterms:created>
  <dcterms:modified xsi:type="dcterms:W3CDTF">2026-07-29T00:22:40Z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