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regn-earnings-predictions--2026-07-30"/>
    <w:p>
      <w:pPr>
        <w:pStyle w:val="Heading1"/>
      </w:pPr>
      <w:r>
        <w:t xml:space="preserve">REGN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REGN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Non-GAAP diluted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~$10.98 vs. cons $10.80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REGN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revenue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~$3.88B vs. cons $3.83B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REGN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U.S. EYLEA HD plus EYLEA net sales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~$0.96B vs. cons $0.94B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REGN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GAAP gross margin on net product sales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~77.5% vs. cons 77.5%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REGN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Non-GAAP R&amp;D expense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~$6.00B vs. cons $6.00B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REGN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Sanofi collaboration-profit recognition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~$1.75B vs. cons $1.70B (3Q2026)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REGN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+3.2%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REGN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+4.8% (FOLLOW-THROUGH)</w:t>
            </w:r>
          </w:p>
        </w:tc>
        <w:tc>
          <w:tcPr/>
          <w:p>
            <w:pPr>
              <w:pStyle w:val="Compact"/>
            </w:pPr>
            <w:r>
              <w:t xml:space="preserve">A ~3.2% day-1 residual move versus a 0.0% beta-adjusted baseline should extend toward ~4.8% over five days versus a 0.0% baseline: modest operational beats, intact FY2026 expense guidance, manufacturing normalization, and full Sanofi profit-share recognition beginning in 3Q26 support upward 2H26 and 2027 EPS revisions rather than a one-day headline-only reaction.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2026-07-29T18:06:40Z</dcterms:created>
  <dcterms:modified xsi:type="dcterms:W3CDTF">2026-07-29T18:06:40Z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