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m-earnings-predictions--2026-07-28"/>
    <w:p>
      <w:pPr>
        <w:pStyle w:val="Heading1"/>
      </w:pPr>
      <w:r>
        <w:t xml:space="preserve">WM Earnings Predictions — 2026-07-28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2.05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2.01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6</m:t>
              </m:r>
              <m:r>
                <m:rPr>
                  <m:sty m:val="p"/>
                </m:rPr>
                <m:t>,</m:t>
              </m:r>
              <m:r>
                <m:t>700</m:t>
              </m:r>
              <m:r>
                <m:t>M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6,650M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2</m:t>
              </m:r>
              <m:r>
                <m:rPr>
                  <m:sty m:val="p"/>
                </m:rPr>
                <m:t>,</m:t>
              </m:r>
              <m:r>
                <m:t>065</m:t>
              </m:r>
              <m:r>
                <m:t>M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2,050M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Adj. EBITDA guide (refresh)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8</m:t>
              </m:r>
              <m:r>
                <m:rPr>
                  <m:sty m:val="p"/>
                </m:rPr>
                <m:t>,</m:t>
              </m:r>
              <m:r>
                <m:t>250</m:t>
              </m:r>
              <m:r>
                <m:t>M</m:t>
              </m:r>
              <m:r>
                <m:rPr>
                  <m:sty m:val="p"/>
                </m:rPr>
                <m:t>(</m:t>
              </m:r>
              <m:r>
                <m:t>n</m:t>
              </m:r>
              <m:r>
                <m:t>a</m:t>
              </m:r>
              <m:r>
                <m:t>r</m:t>
              </m:r>
              <m:r>
                <m:t>r</m:t>
              </m:r>
              <m:r>
                <m:t>o</m:t>
              </m:r>
              <m:r>
                <m:t>w</m:t>
              </m:r>
              <m:r>
                <m:t>t</m:t>
              </m:r>
              <m:r>
                <m:t>o</m:t>
              </m:r>
              <m:r>
                <m:t>h</m:t>
              </m:r>
              <m:r>
                <m:t>i</m:t>
              </m:r>
              <m:r>
                <m:t>g</m:t>
              </m:r>
              <m:r>
                <m:t>h</m:t>
              </m:r>
              <m:r>
                <m:t>e</m:t>
              </m:r>
              <m:r>
                <m:t>n</m:t>
              </m:r>
              <m:r>
                <m:t>d</m:t>
              </m:r>
              <m:r>
                <m:rPr>
                  <m:sty m:val="p"/>
                </m:rPr>
                <m:t>/</m:t>
              </m:r>
              <m:r>
                <m:t>m</m:t>
              </m:r>
              <m:r>
                <m:t>o</m:t>
              </m:r>
              <m:r>
                <m:t>d</m:t>
              </m:r>
              <m:r>
                <m:t>e</m:t>
              </m:r>
              <m:r>
                <m:t>s</m:t>
              </m:r>
              <m:r>
                <m:t>t</m:t>
              </m:r>
              <m:r>
                <m:t>r</m:t>
              </m:r>
              <m:r>
                <m:t>a</m:t>
              </m:r>
              <m:r>
                <m:t>i</m:t>
              </m:r>
              <m:r>
                <m:t>s</m:t>
              </m:r>
              <m:r>
                <m:t>e</m:t>
              </m:r>
              <m:r>
                <m:rPr>
                  <m:sty m:val="p"/>
                </m:rPr>
                <m:t>)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8,220M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Free Cash Flow guide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3</m:t>
              </m:r>
              <m:r>
                <m:rPr>
                  <m:sty m:val="p"/>
                </m:rPr>
                <m:t>,</m:t>
              </m:r>
              <m:r>
                <m:t>850</m:t>
              </m:r>
              <m:r>
                <m:t>M</m:t>
              </m:r>
              <m:r>
                <m:rPr>
                  <m:sty m:val="p"/>
                </m:rPr>
                <m:t>(</m:t>
              </m:r>
              <m:r>
                <m:t>r</m:t>
              </m:r>
              <m:r>
                <m:t>e</m:t>
              </m:r>
              <m:r>
                <m:t>a</m:t>
              </m:r>
              <m:r>
                <m:t>f</m:t>
              </m:r>
              <m:r>
                <m:t>f</m:t>
              </m:r>
              <m:r>
                <m:t>i</m:t>
              </m:r>
              <m:r>
                <m:t>r</m:t>
              </m:r>
              <m:r>
                <m:t>m</m:t>
              </m:r>
              <m:r>
                <m:rPr>
                  <m:sty m:val="p"/>
                </m:rPr>
                <m:t>/</m:t>
              </m:r>
              <m:r>
                <m:t>r</m:t>
              </m:r>
              <m:r>
                <m:t>a</m:t>
              </m:r>
              <m:r>
                <m:t>i</m:t>
              </m:r>
              <m:r>
                <m:t>s</m:t>
              </m:r>
              <m:r>
                <m:t>e</m:t>
              </m:r>
              <m:r>
                <m:t>t</m:t>
              </m:r>
              <m:r>
                <m:t>o</m:t>
              </m:r>
              <m:r>
                <m:t>h</m:t>
              </m:r>
              <m:r>
                <m:t>i</m:t>
              </m:r>
              <m:r>
                <m:t>g</m:t>
              </m:r>
              <m:r>
                <m:t>h</m:t>
              </m:r>
              <m:r>
                <m:t>e</m:t>
              </m:r>
              <m:r>
                <m:t>n</m:t>
              </m:r>
              <m:r>
                <m:t>d</m:t>
              </m:r>
              <m:r>
                <m:rPr>
                  <m:sty m:val="p"/>
                </m:rPr>
                <m:t>)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3,800M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Revenue guide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26</m:t>
              </m:r>
              <m:r>
                <m:rPr>
                  <m:sty m:val="p"/>
                </m:rPr>
                <m:t>,</m:t>
              </m:r>
              <m:r>
                <m:t>525</m:t>
              </m:r>
              <m:r>
                <m:t>M</m:t>
              </m:r>
              <m:r>
                <m:rPr>
                  <m:sty m:val="p"/>
                </m:rPr>
                <m:t>(</m:t>
              </m:r>
              <m:r>
                <m:t>r</m:t>
              </m:r>
              <m:r>
                <m:t>e</m:t>
              </m:r>
              <m:r>
                <m:t>a</m:t>
              </m:r>
              <m:r>
                <m:t>f</m:t>
              </m:r>
              <m:r>
                <m:t>f</m:t>
              </m:r>
              <m:r>
                <m:t>i</m:t>
              </m:r>
              <m:r>
                <m:t>r</m:t>
              </m:r>
              <m:r>
                <m:t>m</m:t>
              </m:r>
              <m:r>
                <m:t>m</m:t>
              </m:r>
              <m:r>
                <m:t>i</m:t>
              </m:r>
              <m:r>
                <m:t>d</m:t>
              </m:r>
              <m:r>
                <m:t>p</m:t>
              </m:r>
              <m:r>
                <m:t>o</m:t>
              </m:r>
              <m:r>
                <m:t>i</m:t>
              </m:r>
              <m:r>
                <m:t>n</m:t>
              </m:r>
              <m:r>
                <m:t>t</m:t>
              </m:r>
              <m:r>
                <m:rPr>
                  <m:sty m:val="p"/>
                </m:rPr>
                <m:t>)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26,550M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Collection &amp; disposal volume ex-wildfire / MSW-industrial trajectory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pred ~+1% underlying (MSW ~+3%, industrial positive) vs. cons ~0% reported (Q2 2026)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Healthcare Solutions (Stericycle) 2H revenue inflection proof</w:t>
            </w:r>
          </w:p>
        </w:tc>
        <w:tc>
          <w:tcPr/>
          <w:p>
            <w:pPr>
              <w:pStyle w:val="Compact"/>
            </w:pPr>
            <w:r>
              <w:t xml:space="preserve">UNKNOWN</w:t>
            </w:r>
          </w:p>
        </w:tc>
        <w:tc>
          <w:tcPr/>
          <w:p>
            <w:pPr>
              <w:pStyle w:val="Compact"/>
            </w:pPr>
            <w:r>
              <w:t xml:space="preserve">pred Healthcare EBITDA +~12%, margin ~17% vs. cons ~+10% (Q2 2026/2H outlook)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-1.5%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-2.0% (FADE)</w:t>
            </w:r>
          </w:p>
        </w:tc>
        <w:tc>
          <w:tcPr/>
          <w:p>
            <w:pPr>
              <w:pStyle w:val="Compact"/>
            </w:pPr>
            <w:r>
              <w:t xml:space="preserve">Stock is near 52-wk highs, +~9% YTD and priced for the 'harvest' thesis, so a modest EPS/EBITDA beat against a tough wildfire comp is largely discounted. The out-period math is the drag: backing a Q2 beat out of an only-narrowed FY range implies flat-to-lower 2H quarterly EBITDA, so a mere high-end narrowing (rather than a large raise) reads as an implicit guide cut and caps upward revisions. Absent a clean Healthcare revenue inflection and a real EBITDA/FCF raise, the initial pop fades as estimates drift sideways-to-down into a full multiple.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2026-07-28T01:47:50Z</dcterms:created>
  <dcterms:modified xsi:type="dcterms:W3CDTF">2026-07-28T01:47:50Z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