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9" w:name="wm-earnings-predictions--2026-07-28"/>
    <w:p>
      <w:pPr>
        <w:pStyle w:val="Heading1"/>
      </w:pPr>
      <w:r>
        <w:t xml:space="preserve">WM Earnings Predictions — 2026-07-28</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Ticker</w:t>
            </w:r>
          </w:p>
        </w:tc>
        <w:tc>
          <w:tcPr/>
          <w:p>
            <w:pPr>
              <w:pStyle w:val="Compact"/>
            </w:pPr>
            <w:r>
              <w:t xml:space="preserve">Report or Guide</w:t>
            </w:r>
          </w:p>
        </w:tc>
        <w:tc>
          <w:tcPr/>
          <w:p>
            <w:pPr>
              <w:pStyle w:val="Compact"/>
            </w:pPr>
            <w:r>
              <w:t xml:space="preserve">KPI</w:t>
            </w:r>
          </w:p>
        </w:tc>
        <w:tc>
          <w:tcPr/>
          <w:p>
            <w:pPr>
              <w:pStyle w:val="Compact"/>
            </w:pPr>
            <w:r>
              <w:t xml:space="preserve">Prediction</w:t>
            </w:r>
          </w:p>
        </w:tc>
        <w:tc>
          <w:tcPr/>
          <w:p>
            <w:pPr>
              <w:pStyle w:val="Compact"/>
            </w:pPr>
            <w:r>
              <w:t xml:space="preserve">Answer</w:t>
            </w:r>
          </w:p>
        </w:tc>
        <w:tc>
          <w:tcPr/>
          <w:p>
            <w:pPr>
              <w:pStyle w:val="Compact"/>
            </w:pPr>
            <w:r>
              <w:t xml:space="preserve">Confidence</w:t>
            </w:r>
          </w:p>
        </w:tc>
      </w:tr>
      <w:tr>
        <w:tc>
          <w:tcPr/>
          <w:p>
            <w:pPr>
              <w:pStyle w:val="Compact"/>
            </w:pPr>
            <w:r>
              <w:t xml:space="preserve">WM</w:t>
            </w:r>
          </w:p>
        </w:tc>
        <w:tc>
          <w:tcPr/>
          <w:p>
            <w:pPr>
              <w:pStyle w:val="Compact"/>
            </w:pPr>
            <w:r>
              <w:t xml:space="preserve">Report</w:t>
            </w:r>
          </w:p>
        </w:tc>
        <w:tc>
          <w:tcPr/>
          <w:p>
            <w:pPr>
              <w:pStyle w:val="Compact"/>
            </w:pPr>
            <w:r>
              <w:t xml:space="preserve">Adjusted EPS</w:t>
            </w:r>
          </w:p>
        </w:tc>
        <w:tc>
          <w:tcPr/>
          <w:p>
            <w:pPr>
              <w:pStyle w:val="Compact"/>
            </w:pPr>
            <w:r>
              <w:t xml:space="preserve">BEAT</w:t>
            </w:r>
          </w:p>
        </w:tc>
        <w:tc>
          <w:tcPr/>
          <w:p>
            <w:pPr>
              <w:pStyle w:val="Compact"/>
            </w:pPr>
            <w:r>
              <w:t xml:space="preserve">pred ~$2.03 vs. cons $2.00</w:t>
            </w:r>
          </w:p>
        </w:tc>
        <w:tc>
          <w:tcPr/>
          <w:p>
            <w:pPr>
              <w:pStyle w:val="Compact"/>
            </w:pPr>
            <w:r>
              <w:t xml:space="preserve">MEDIUM</w:t>
            </w:r>
          </w:p>
        </w:tc>
      </w:tr>
      <w:tr>
        <w:tc>
          <w:tcPr/>
          <w:p>
            <w:pPr>
              <w:pStyle w:val="Compact"/>
            </w:pPr>
            <w:r>
              <w:t xml:space="preserve">WM</w:t>
            </w:r>
          </w:p>
        </w:tc>
        <w:tc>
          <w:tcPr/>
          <w:p>
            <w:pPr>
              <w:pStyle w:val="Compact"/>
            </w:pPr>
            <w:r>
              <w:t xml:space="preserve">Report</w:t>
            </w:r>
          </w:p>
        </w:tc>
        <w:tc>
          <w:tcPr/>
          <w:p>
            <w:pPr>
              <w:pStyle w:val="Compact"/>
            </w:pPr>
            <w:r>
              <w:t xml:space="preserve">Total Revenue</w:t>
            </w:r>
          </w:p>
        </w:tc>
        <w:tc>
          <w:tcPr/>
          <w:p>
            <w:pPr>
              <w:pStyle w:val="Compact"/>
            </w:pPr>
            <w:r>
              <w:t xml:space="preserve">MISS</w:t>
            </w:r>
          </w:p>
        </w:tc>
        <w:tc>
          <w:tcPr/>
          <w:p>
            <w:pPr>
              <w:pStyle w:val="Compact"/>
            </w:pPr>
            <w:r>
              <w:t xml:space="preserve">pred ~$6.63B vs. cons $6.70B</w:t>
            </w:r>
          </w:p>
        </w:tc>
        <w:tc>
          <w:tcPr/>
          <w:p>
            <w:pPr>
              <w:pStyle w:val="Compact"/>
            </w:pPr>
            <w:r>
              <w:t xml:space="preserve">MEDIUM</w:t>
            </w:r>
          </w:p>
        </w:tc>
      </w:tr>
      <w:tr>
        <w:tc>
          <w:tcPr/>
          <w:p>
            <w:pPr>
              <w:pStyle w:val="Compact"/>
            </w:pPr>
            <w:r>
              <w:t xml:space="preserve">WM</w:t>
            </w:r>
          </w:p>
        </w:tc>
        <w:tc>
          <w:tcPr/>
          <w:p>
            <w:pPr>
              <w:pStyle w:val="Compact"/>
            </w:pPr>
            <w:r>
              <w:t xml:space="preserve">Report</w:t>
            </w:r>
          </w:p>
        </w:tc>
        <w:tc>
          <w:tcPr/>
          <w:p>
            <w:pPr>
              <w:pStyle w:val="Compact"/>
            </w:pPr>
            <w:r>
              <w:t xml:space="preserve">Adjusted Operating EBITDA Margin</w:t>
            </w:r>
          </w:p>
        </w:tc>
        <w:tc>
          <w:tcPr/>
          <w:p>
            <w:pPr>
              <w:pStyle w:val="Compact"/>
            </w:pPr>
            <w:r>
              <w:t xml:space="preserve">MISS</w:t>
            </w:r>
          </w:p>
        </w:tc>
        <w:tc>
          <w:tcPr/>
          <w:p>
            <w:pPr>
              <w:pStyle w:val="Compact"/>
            </w:pPr>
            <w:r>
              <w:t xml:space="preserve">pred ~30.8% vs. cons 31.3%</w:t>
            </w:r>
          </w:p>
        </w:tc>
        <w:tc>
          <w:tcPr/>
          <w:p>
            <w:pPr>
              <w:pStyle w:val="Compact"/>
            </w:pPr>
            <w:r>
              <w:t xml:space="preserve">MEDIUM</w:t>
            </w:r>
          </w:p>
        </w:tc>
      </w:tr>
      <w:tr>
        <w:tc>
          <w:tcPr/>
          <w:p>
            <w:pPr>
              <w:pStyle w:val="Compact"/>
            </w:pPr>
            <w:r>
              <w:t xml:space="preserve">WM</w:t>
            </w:r>
          </w:p>
        </w:tc>
        <w:tc>
          <w:tcPr/>
          <w:p>
            <w:pPr>
              <w:pStyle w:val="Compact"/>
            </w:pPr>
            <w:r>
              <w:t xml:space="preserve">Guide</w:t>
            </w:r>
          </w:p>
        </w:tc>
        <w:tc>
          <w:tcPr/>
          <w:p>
            <w:pPr>
              <w:pStyle w:val="Compact"/>
            </w:pPr>
            <w:r>
              <w:t xml:space="preserve">FY2026 Revenue Guidance</w:t>
            </w:r>
          </w:p>
        </w:tc>
        <w:tc>
          <w:tcPr/>
          <w:p>
            <w:pPr>
              <w:pStyle w:val="Compact"/>
            </w:pPr>
            <w:r>
              <w:t xml:space="preserve">UNCHANGED</w:t>
            </w:r>
          </w:p>
        </w:tc>
        <w:tc>
          <w:tcPr/>
          <w:p>
            <w:pPr>
              <w:pStyle w:val="Compact"/>
            </w:pPr>
            <w:r>
              <w:t xml:space="preserve">guide ~$26,525M vs. cons $26,500M (FY2026)</w:t>
            </w:r>
          </w:p>
        </w:tc>
        <w:tc>
          <w:tcPr/>
          <w:p>
            <w:pPr>
              <w:pStyle w:val="Compact"/>
            </w:pPr>
            <w:r>
              <w:t xml:space="preserve">HIGH</w:t>
            </w:r>
          </w:p>
        </w:tc>
      </w:tr>
      <w:tr>
        <w:tc>
          <w:tcPr/>
          <w:p>
            <w:pPr>
              <w:pStyle w:val="Compact"/>
            </w:pPr>
            <w:r>
              <w:t xml:space="preserve">WM</w:t>
            </w:r>
          </w:p>
        </w:tc>
        <w:tc>
          <w:tcPr/>
          <w:p>
            <w:pPr>
              <w:pStyle w:val="Compact"/>
            </w:pPr>
            <w:r>
              <w:t xml:space="preserve">Guide</w:t>
            </w:r>
          </w:p>
        </w:tc>
        <w:tc>
          <w:tcPr/>
          <w:p>
            <w:pPr>
              <w:pStyle w:val="Compact"/>
            </w:pPr>
            <w:r>
              <w:t xml:space="preserve">FY2026 Adjusted Operating EBITDA Guidance</w:t>
            </w:r>
          </w:p>
        </w:tc>
        <w:tc>
          <w:tcPr/>
          <w:p>
            <w:pPr>
              <w:pStyle w:val="Compact"/>
            </w:pPr>
            <w:r>
              <w:t xml:space="preserve">UNCHANGED</w:t>
            </w:r>
          </w:p>
        </w:tc>
        <w:tc>
          <w:tcPr/>
          <w:p>
            <w:pPr>
              <w:pStyle w:val="Compact"/>
            </w:pPr>
            <w:r>
              <w:t xml:space="preserve">guide ~$8,200M vs. cons $8,180M (FY2026)</w:t>
            </w:r>
          </w:p>
        </w:tc>
        <w:tc>
          <w:tcPr/>
          <w:p>
            <w:pPr>
              <w:pStyle w:val="Compact"/>
            </w:pPr>
            <w:r>
              <w:t xml:space="preserve">MEDIUM</w:t>
            </w:r>
          </w:p>
        </w:tc>
      </w:tr>
      <w:tr>
        <w:tc>
          <w:tcPr/>
          <w:p>
            <w:pPr>
              <w:pStyle w:val="Compact"/>
            </w:pPr>
            <w:r>
              <w:t xml:space="preserve">WM</w:t>
            </w:r>
          </w:p>
        </w:tc>
        <w:tc>
          <w:tcPr/>
          <w:p>
            <w:pPr>
              <w:pStyle w:val="Compact"/>
            </w:pPr>
            <w:r>
              <w:t xml:space="preserve">Guide</w:t>
            </w:r>
          </w:p>
        </w:tc>
        <w:tc>
          <w:tcPr/>
          <w:p>
            <w:pPr>
              <w:pStyle w:val="Compact"/>
            </w:pPr>
            <w:r>
              <w:t xml:space="preserve">FY2026 Free Cash Flow Guidance</w:t>
            </w:r>
          </w:p>
        </w:tc>
        <w:tc>
          <w:tcPr/>
          <w:p>
            <w:pPr>
              <w:pStyle w:val="Compact"/>
            </w:pPr>
            <w:r>
              <w:t xml:space="preserve">BETTER</w:t>
            </w:r>
          </w:p>
        </w:tc>
        <w:tc>
          <w:tcPr/>
          <w:p>
            <w:pPr>
              <w:pStyle w:val="Compact"/>
            </w:pPr>
            <w:r>
              <w:t xml:space="preserve">guide ~$3,820M vs. cons $3,780M (FY2026)</w:t>
            </w:r>
          </w:p>
        </w:tc>
        <w:tc>
          <w:tcPr/>
          <w:p>
            <w:pPr>
              <w:pStyle w:val="Compact"/>
            </w:pPr>
            <w:r>
              <w:t xml:space="preserve">MEDIUM</w:t>
            </w:r>
          </w:p>
        </w:tc>
      </w:tr>
      <w:tr>
        <w:tc>
          <w:tcPr/>
          <w:p>
            <w:pPr>
              <w:pStyle w:val="Compact"/>
            </w:pPr>
            <w:r>
              <w:t xml:space="preserve">WM</w:t>
            </w:r>
          </w:p>
        </w:tc>
        <w:tc>
          <w:tcPr/>
          <w:p>
            <w:pPr>
              <w:pStyle w:val="Compact"/>
            </w:pPr>
            <w:r>
              <w:t xml:space="preserve">Guide</w:t>
            </w:r>
          </w:p>
        </w:tc>
        <w:tc>
          <w:tcPr/>
          <w:p>
            <w:pPr>
              <w:pStyle w:val="Compact"/>
            </w:pPr>
            <w:r>
              <w:t xml:space="preserve">Healthcare Solutions H2 Revenue Growth Inflection</w:t>
            </w:r>
          </w:p>
        </w:tc>
        <w:tc>
          <w:tcPr/>
          <w:p>
            <w:pPr>
              <w:pStyle w:val="Compact"/>
            </w:pPr>
            <w:r>
              <w:t xml:space="preserve">BETTER</w:t>
            </w:r>
          </w:p>
        </w:tc>
        <w:tc>
          <w:tcPr/>
          <w:p>
            <w:pPr>
              <w:pStyle w:val="Compact"/>
            </w:pPr>
            <w:r>
              <w:t xml:space="preserve">guide ~4% H2 revenue growth vs. cons ~2% (2H2026)</w:t>
            </w:r>
          </w:p>
        </w:tc>
        <w:tc>
          <w:tcPr/>
          <w:p>
            <w:pPr>
              <w:pStyle w:val="Compact"/>
            </w:pPr>
            <w:r>
              <w:t xml:space="preserve">LOW</w:t>
            </w:r>
          </w:p>
        </w:tc>
      </w:tr>
      <w:tr>
        <w:tc>
          <w:tcPr/>
          <w:p>
            <w:pPr>
              <w:pStyle w:val="Compact"/>
            </w:pPr>
            <w:r>
              <w:t xml:space="preserve">WM</w:t>
            </w:r>
          </w:p>
        </w:tc>
        <w:tc>
          <w:tcPr/>
          <w:p>
            <w:pPr>
              <w:pStyle w:val="Compact"/>
            </w:pPr>
            <w:r>
              <w:t xml:space="preserve">Return</w:t>
            </w:r>
          </w:p>
        </w:tc>
        <w:tc>
          <w:tcPr/>
          <w:p>
            <w:pPr>
              <w:pStyle w:val="Compact"/>
            </w:pPr>
            <w:r>
              <w:t xml:space="preserve">Day-1 residual (stock − beta × S&amp;P 500)</w:t>
            </w:r>
          </w:p>
        </w:tc>
        <w:tc>
          <w:tcPr/>
          <w:p>
            <w:pPr>
              <w:pStyle w:val="Compact"/>
            </w:pPr>
            <w:r>
              <w:t xml:space="preserve">-0.8%</w:t>
            </w:r>
          </w:p>
        </w:tc>
        <w:tc>
          <w:tcPr/>
          <w:p>
            <w:pPr>
              <w:pStyle w:val="Compact"/>
            </w:pPr>
            <w:r>
              <w:t xml:space="preserve">—</w:t>
            </w:r>
          </w:p>
        </w:tc>
        <w:tc>
          <w:tcPr/>
          <w:p>
            <w:pPr>
              <w:pStyle w:val="Compact"/>
            </w:pPr>
            <w:r>
              <w:t xml:space="preserve">MEDIUM</w:t>
            </w:r>
          </w:p>
        </w:tc>
      </w:tr>
      <w:tr>
        <w:tc>
          <w:tcPr/>
          <w:p>
            <w:pPr>
              <w:pStyle w:val="Compact"/>
            </w:pPr>
            <w:r>
              <w:t xml:space="preserve">WM</w:t>
            </w:r>
          </w:p>
        </w:tc>
        <w:tc>
          <w:tcPr/>
          <w:p>
            <w:pPr>
              <w:pStyle w:val="Compact"/>
            </w:pPr>
            <w:r>
              <w:t xml:space="preserve">Return</w:t>
            </w:r>
          </w:p>
        </w:tc>
        <w:tc>
          <w:tcPr/>
          <w:p>
            <w:pPr>
              <w:pStyle w:val="Compact"/>
            </w:pPr>
            <w:r>
              <w:t xml:space="preserve">5-day cumulative residual</w:t>
            </w:r>
          </w:p>
        </w:tc>
        <w:tc>
          <w:tcPr/>
          <w:p>
            <w:pPr>
              <w:pStyle w:val="Compact"/>
            </w:pPr>
            <w:r>
              <w:t xml:space="preserve">-0.2% (FADE)</w:t>
            </w:r>
          </w:p>
        </w:tc>
        <w:tc>
          <w:tcPr/>
          <w:p>
            <w:pPr>
              <w:pStyle w:val="Compact"/>
            </w:pPr>
            <w:r>
              <w:t xml:space="preserve">Initial reaction likely negative on the optically weaker revenue/margin print (driven by the well-flagged $85M wildfire-comp lap and only 'muted' sequential margin expansion), but since management pre-announced this headwind and underlying volume trends (MSW, industrial roll-off, special waste ex-wildfire) are genuinely improving, and FY guidance is reaffirmed rather than cut, analysts should walk back initial negative revisions over the following days as the H2 Healthcare Solutions inflection and RNG ramp support out-period estimates, causing the residual to fade back toward flat rather than follow through or fully stabilize at the day-1 level.</w:t>
            </w:r>
          </w:p>
        </w:tc>
        <w:tc>
          <w:tcPr/>
          <w:p>
            <w:pPr>
              <w:pStyle w:val="Compact"/>
            </w:pPr>
            <w:r>
              <w:t xml:space="preserve">LOW</w:t>
            </w:r>
          </w:p>
        </w:tc>
      </w:tr>
    </w:tbl>
    <w:bookmarkEnd w:id="9"/>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2026-07-28T01:45:17Z</dcterms:created>
  <dcterms:modified xsi:type="dcterms:W3CDTF">2026-07-28T01:45:17Z</dcterms:modified>
</cp:coreProperties>
</file>

<file path=docProps/custom.xml><?xml version="1.0" encoding="utf-8"?>
<Properties xmlns="http://schemas.openxmlformats.org/officeDocument/2006/custom-properties" xmlns:vt="http://schemas.openxmlformats.org/officeDocument/2006/docPropsVTypes"/>
</file>