
<file path=[Content_Types].xml><?xml version="1.0" encoding="utf-8"?>
<Types xmlns="http://schemas.openxmlformats.org/package/2006/content-types">
  <Default Extension="xml" ContentType="application/xml"/>
  <Default Extension="rels" ContentType="application/vnd.openxmlformats-package.relationships+xml"/>
  <Default Extension="odttf" ContentType="application/vnd.openxmlformats-officedocument.obfuscatedFont"/>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p>
      <w:pPr>
        <w:pStyle w:val="FirstParagraph"/>
      </w:pPr>
      <w:r>
        <w:t xml:space="preserve">Now let me check for recent price target/rating changes and any recent news specific to WM (M&amp;A, weather, RNG, Healthcare Solutions) closer to the print.# WM (Waste Management) — Q2 2026 Earnings Preview</w:t>
      </w:r>
      <w:r>
        <w:t xml:space="preserve"> </w:t>
      </w:r>
      <w:r>
        <w:rPr>
          <w:b/>
          <w:bCs/>
        </w:rPr>
        <w:t xml:space="preserve">Reports: Tuesday, July 28, 2026 (after market close) | Call: 2026Q2 Earnings Call</w:t>
      </w:r>
    </w:p>
    <w:p>
      <w:r>
        <w:pict>
          <v:rect style="width:0;height:1.5pt" o:hralign="center" o:hrstd="t" o:hr="t"/>
        </w:pict>
      </w:r>
    </w:p>
    <w:bookmarkStart w:id="9" w:name="X949bd4f4089bbaccce539b2bd28d75b85935b6a"/>
    <w:p>
      <w:pPr>
        <w:pStyle w:val="Heading2"/>
      </w:pPr>
      <w:r>
        <w:t xml:space="preserve">1. Setup Into the Print</w:t>
      </w:r>
    </w:p>
    <w:p>
      <w:pPr>
        <w:pStyle w:val="FirstParagraph"/>
      </w:pPr>
      <w:r>
        <w:t xml:space="preserve">WM shares enter the quarter near</w:t>
      </w:r>
      <w:r>
        <w:t xml:space="preserve"> </w:t>
      </w:r>
      <m:oMath>
        <m:r>
          <m:t>238</m:t>
        </m:r>
        <m:r>
          <m:rPr>
            <m:sty m:val="p"/>
          </m:rPr>
          <m:t>,</m:t>
        </m:r>
        <m:r>
          <m:t>u</m:t>
        </m:r>
        <m:r>
          <m:t>p</m:t>
        </m:r>
        <m:r>
          <m:t>m</m:t>
        </m:r>
        <m:r>
          <m:t>o</m:t>
        </m:r>
        <m:r>
          <m:t>d</m:t>
        </m:r>
        <m:r>
          <m:t>e</m:t>
        </m:r>
        <m:r>
          <m:t>s</m:t>
        </m:r>
        <m:r>
          <m:t>t</m:t>
        </m:r>
        <m:r>
          <m:t>l</m:t>
        </m:r>
        <m:r>
          <m:t>y</m:t>
        </m:r>
        <m:r>
          <m:t>f</m:t>
        </m:r>
        <m:r>
          <m:t>r</m:t>
        </m:r>
        <m:r>
          <m:t>o</m:t>
        </m:r>
        <m:r>
          <m:t>m</m:t>
        </m:r>
        <m:r>
          <m:t> </m:t>
        </m:r>
      </m:oMath>
      <w:r>
        <w:t xml:space="preserve">218 at the start of the year but well off the March high near $246 and the late-May/June low near $211 — a choppy but generally resilient 2026 for the stock. Consensus sell-side price targets cluster in the</w:t>
      </w:r>
      <w:r>
        <w:t xml:space="preserve"> </w:t>
      </w:r>
      <m:oMath>
        <m:r>
          <m:t>256</m:t>
        </m:r>
        <m:r>
          <m:rPr>
            <m:sty m:val="p"/>
          </m:rPr>
          <m:t>–</m:t>
        </m:r>
      </m:oMath>
      <w:r>
        <w:t xml:space="preserve">258 range, implying high-single-digit upside if WM executes to plan.</w:t>
      </w:r>
    </w:p>
    <w:p>
      <w:pPr>
        <w:pStyle w:val="BodyText"/>
      </w:pPr>
      <w:r>
        <w:t xml:space="preserve">Wall Street is looking for</w:t>
      </w:r>
      <w:r>
        <w:t xml:space="preserve"> </w:t>
      </w:r>
      <w:r>
        <w:rPr>
          <w:b/>
          <w:bCs/>
        </w:rPr>
        <w:t xml:space="preserve">Q2 revenue of roughly</w:t>
      </w:r>
      <w:r>
        <w:rPr>
          <w:b/>
          <w:bCs/>
        </w:rPr>
        <w:t xml:space="preserve"> </w:t>
      </w:r>
      <m:oMath>
        <m:r>
          <m:t>6.69</m:t>
        </m:r>
        <m:r>
          <m:rPr>
            <m:sty m:val="p"/>
          </m:rPr>
          <m:t>–</m:t>
        </m:r>
      </m:oMath>
      <w:r>
        <w:rPr>
          <w:b/>
          <w:bCs/>
        </w:rPr>
        <w:t xml:space="preserve">6.71 billion (+4–4.4% y/y)</w:t>
      </w:r>
      <w:r>
        <w:t xml:space="preserve"> </w:t>
      </w:r>
      <w:r>
        <w:t xml:space="preserve">and</w:t>
      </w:r>
      <w:r>
        <w:t xml:space="preserve"> </w:t>
      </w:r>
      <w:r>
        <w:rPr>
          <w:b/>
          <w:bCs/>
        </w:rPr>
        <w:t xml:space="preserve">adjusted EPS of about</w:t>
      </w:r>
      <w:r>
        <w:rPr>
          <w:b/>
          <w:bCs/>
        </w:rPr>
        <w:t xml:space="preserve"> </w:t>
      </w:r>
      <m:oMath>
        <m:r>
          <m:t>1.99</m:t>
        </m:r>
        <m:r>
          <m:rPr>
            <m:sty m:val="p"/>
          </m:rPr>
          <m:t>–</m:t>
        </m:r>
      </m:oMath>
      <w:r>
        <w:rPr>
          <w:b/>
          <w:bCs/>
        </w:rPr>
        <w:t xml:space="preserve">2.01 (+4–5% y/y)</w:t>
      </w:r>
      <w:r>
        <w:t xml:space="preserve">, with the Collection &amp; Disposal segment expected to contribute roughly</w:t>
      </w:r>
      <w:r>
        <w:t xml:space="preserve"> </w:t>
      </w:r>
      <m:oMath>
        <m:r>
          <m:t>5.5</m:t>
        </m:r>
        <m:r>
          <m:t>b</m:t>
        </m:r>
        <m:r>
          <m:t>i</m:t>
        </m:r>
        <m:r>
          <m:t>l</m:t>
        </m:r>
        <m:r>
          <m:t>l</m:t>
        </m:r>
        <m:r>
          <m:t>i</m:t>
        </m:r>
        <m:r>
          <m:t>o</m:t>
        </m:r>
        <m:r>
          <m:t>n</m:t>
        </m:r>
        <m:r>
          <m:t>o</m:t>
        </m:r>
        <m:r>
          <m:t>f</m:t>
        </m:r>
        <m:r>
          <m:t>r</m:t>
        </m:r>
        <m:r>
          <m:t>e</m:t>
        </m:r>
        <m:r>
          <m:t>v</m:t>
        </m:r>
        <m:r>
          <m:t>e</m:t>
        </m:r>
        <m:r>
          <m:t>n</m:t>
        </m:r>
        <m:r>
          <m:t>u</m:t>
        </m:r>
        <m:r>
          <m:t>e</m:t>
        </m:r>
        <m:r>
          <m:rPr>
            <m:sty m:val="p"/>
          </m:rPr>
          <m:t>(</m:t>
        </m:r>
        <m:r>
          <m:rPr>
            <m:sty m:val="p"/>
          </m:rPr>
          <m:t>+</m:t>
        </m:r>
        <m:r>
          <m:t>3.9</m:t>
        </m:r>
      </m:oMath>
      <w:r>
        <w:t xml:space="preserve">8.15–</w:t>
      </w:r>
      <m:oMath>
        <m:r>
          <m:t>8.16</m:t>
        </m:r>
        <m:r>
          <m:t>E</m:t>
        </m:r>
        <m:r>
          <m:t>P</m:t>
        </m:r>
        <m:r>
          <m:t>S</m:t>
        </m:r>
        <m:r>
          <m:rPr>
            <m:sty m:val="p"/>
          </m:rPr>
          <m:t>*</m:t>
        </m:r>
        <m:r>
          <m:rPr>
            <m:sty m:val="p"/>
          </m:rPr>
          <m:t>*</m:t>
        </m:r>
        <m:r>
          <m:t>a</m:t>
        </m:r>
        <m:r>
          <m:t>n</m:t>
        </m:r>
        <m:r>
          <m:t>d</m:t>
        </m:r>
        <m:r>
          <m:rPr>
            <m:sty m:val="p"/>
          </m:rPr>
          <m:t>*</m:t>
        </m:r>
        <m:r>
          <m:rPr>
            <m:sty m:val="p"/>
          </m:rPr>
          <m:t>*</m:t>
        </m:r>
        <m:r>
          <m:t> </m:t>
        </m:r>
      </m:oMath>
      <w:r>
        <w:t xml:space="preserve">26.5 billion revenue**, broadly in line with WM's own guidance.</w:t>
      </w:r>
    </w:p>
    <w:bookmarkEnd w:id="9"/>
    <w:bookmarkStart w:id="10" w:name="X07efc7dbae525b39ca40dbfe2f4ba6c0c477415"/>
    <w:p>
      <w:pPr>
        <w:pStyle w:val="Heading2"/>
      </w:pPr>
      <w:r>
        <w:t xml:space="preserve">2. What Q1 Told Us</w:t>
      </w:r>
    </w:p>
    <w:p>
      <w:pPr>
        <w:pStyle w:val="FirstParagraph"/>
      </w:pPr>
      <w:r>
        <w:t xml:space="preserve">WM's Q1 2026 print set a constructive tone. Reported revenue was Revenue $6,227 million versus $6,018 million a year earlier, and the company delivered adjusted EPS of $1.81 versus $1.67. Management framed the quarter as a "strong" start despite headwinds: "Disciplined pricing, cost optimization and contributions from sustainability growth projects led to first quarter adjusted operating EBITDA growth of 5.9% and margin expansion of 70 basis points despite a challenging quarter of weather impacts." Free cash flow nearly doubled year-over-year to $920 million, and the company returned $729 million to shareholders via dividends and buybacks while its leverage ratio returned to the 2.5x–3.0x target range.</w:t>
      </w:r>
    </w:p>
    <w:p>
      <w:pPr>
        <w:pStyle w:val="BodyText"/>
      </w:pPr>
      <w:r>
        <w:t xml:space="preserve">The notable soft spot was volume: collection and disposal volume fell 1.5%, driven by severe winter weather (about half the shortfall), intentional shedding of low-margin residential business, and the lapping of prior-year wildfire cleanup volumes. Management was explicit that this was largely transitory, pointing to encouraging real-time data — special waste volumes (ex-wildfire) up 6.7%, MSW volumes recently running above 4%, and industrial/roll-off volumes turning slightly positive after roughly 1.5 years of declines. Management also flagged that they would "</w:t>
      </w:r>
      <w:r>
        <w:rPr>
          <w:b/>
          <w:bCs/>
        </w:rPr>
        <w:t xml:space="preserve">really kind of take a refresh of our guidance numbers at the end of Q2</w:t>
      </w:r>
      <w:r>
        <w:t xml:space="preserve">," making this print important for any formal guidance update.</w:t>
      </w:r>
    </w:p>
    <w:bookmarkEnd w:id="10"/>
    <w:bookmarkStart w:id="11" w:name="Xd5b06a29223f55b2cdbc0fa8da2de115eca1421"/>
    <w:p>
      <w:pPr>
        <w:pStyle w:val="Heading2"/>
      </w:pPr>
      <w:r>
        <w:t xml:space="preserve">3. Full-Year 2026 Guidance — The Scorecard</w:t>
      </w:r>
    </w:p>
    <w:p>
      <w:pPr>
        <w:pStyle w:val="FirstParagraph"/>
      </w:pPr>
      <w:r>
        <w:t xml:space="preserve">WM's original 2026 outlook (issued with Q4 2025 results, reaffirmed in Q1) calls for:</w:t>
      </w:r>
    </w:p>
    <w:tbl>
      <w:tblPr>
        <w:tblStyle w:val="Table"/>
        <w:tblW w:type="auto" w:w="0"/>
        <w:tblLook w:firstRow="1" w:lastRow="0" w:firstColumn="0" w:lastColumn="0" w:noHBand="0" w:noVBand="0" w:val="0020"/>
      </w:tblPr>
      <w:tblGrid>
        <w:gridCol w:w="2640"/>
        <w:gridCol w:w="2640"/>
        <w:gridCol w:w="2640"/>
      </w:tblGrid>
      <w:tr>
        <w:trPr>
          <w:tblHeader w:val="on"/>
        </w:trPr>
        <w:tc>
          <w:tcPr/>
          <w:p>
            <w:pPr>
              <w:pStyle w:val="Compact"/>
            </w:pPr>
            <w:r>
              <w:t xml:space="preserve">Metric</w:t>
            </w:r>
          </w:p>
        </w:tc>
        <w:tc>
          <w:tcPr/>
          <w:p>
            <w:pPr>
              <w:pStyle w:val="Compact"/>
            </w:pPr>
            <w:r>
              <w:t xml:space="preserve">2026 Guidance</w:t>
            </w:r>
          </w:p>
        </w:tc>
        <w:tc>
          <w:tcPr/>
          <w:p>
            <w:pPr>
              <w:pStyle w:val="Compact"/>
            </w:pPr>
            <w:r>
              <w:t xml:space="preserve">Implied Growth</w:t>
            </w:r>
          </w:p>
        </w:tc>
      </w:tr>
      <w:tr>
        <w:tc>
          <w:tcPr/>
          <w:p>
            <w:pPr>
              <w:pStyle w:val="Compact"/>
            </w:pPr>
            <w:r>
              <w:t xml:space="preserve">Revenue</w:t>
            </w:r>
          </w:p>
        </w:tc>
        <w:tc>
          <w:tcPr/>
          <w:p>
            <w:pPr>
              <w:pStyle w:val="Compact"/>
            </w:pPr>
            <m:oMath>
              <m:r>
                <m:t>26</m:t>
              </m:r>
              <m:r>
                <m:rPr>
                  <m:sty m:val="p"/>
                </m:rPr>
                <m:t>,</m:t>
              </m:r>
              <m:r>
                <m:t>425</m:t>
              </m:r>
              <m:r>
                <m:rPr>
                  <m:sty m:val="p"/>
                </m:rPr>
                <m:t>–</m:t>
              </m:r>
            </m:oMath>
            <w:r>
              <w:t xml:space="preserve">26,625M</w:t>
            </w:r>
          </w:p>
        </w:tc>
        <w:tc>
          <w:tcPr/>
          <w:p>
            <w:pPr>
              <w:pStyle w:val="Compact"/>
            </w:pPr>
            <w:r>
              <w:t xml:space="preserve">+5.2%</w:t>
            </w:r>
          </w:p>
        </w:tc>
      </w:tr>
      <w:tr>
        <w:tc>
          <w:tcPr/>
          <w:p>
            <w:pPr>
              <w:pStyle w:val="Compact"/>
            </w:pPr>
            <w:r>
              <w:t xml:space="preserve">Adjusted Operating EBITDA</w:t>
            </w:r>
          </w:p>
        </w:tc>
        <w:tc>
          <w:tcPr/>
          <w:p>
            <w:pPr>
              <w:pStyle w:val="Compact"/>
            </w:pPr>
            <m:oMath>
              <m:r>
                <m:t>8</m:t>
              </m:r>
              <m:r>
                <m:rPr>
                  <m:sty m:val="p"/>
                </m:rPr>
                <m:t>,</m:t>
              </m:r>
              <m:r>
                <m:t>150</m:t>
              </m:r>
              <m:r>
                <m:rPr>
                  <m:sty m:val="p"/>
                </m:rPr>
                <m:t>–</m:t>
              </m:r>
            </m:oMath>
            <w:r>
              <w:t xml:space="preserve">8,250M</w:t>
            </w:r>
          </w:p>
        </w:tc>
        <w:tc>
          <w:tcPr/>
          <w:p>
            <w:pPr>
              <w:pStyle w:val="Compact"/>
            </w:pPr>
            <w:r>
              <w:t xml:space="preserve">+6.2%</w:t>
            </w:r>
          </w:p>
        </w:tc>
      </w:tr>
      <w:tr>
        <w:tc>
          <w:tcPr/>
          <w:p>
            <w:pPr>
              <w:pStyle w:val="Compact"/>
            </w:pPr>
            <w:r>
              <w:t xml:space="preserve">Adjusted EBITDA Margin</w:t>
            </w:r>
          </w:p>
        </w:tc>
        <w:tc>
          <w:tcPr/>
          <w:p>
            <w:pPr>
              <w:pStyle w:val="Compact"/>
            </w:pPr>
            <w:r>
              <w:t xml:space="preserve">30.8%–31.0%</w:t>
            </w:r>
          </w:p>
        </w:tc>
        <w:tc>
          <w:tcPr/>
          <w:p>
            <w:pPr>
              <w:pStyle w:val="Compact"/>
            </w:pPr>
            <w:r>
              <w:t xml:space="preserve">+30 bps (comparable basis)</w:t>
            </w:r>
          </w:p>
        </w:tc>
      </w:tr>
      <w:tr>
        <w:tc>
          <w:tcPr/>
          <w:p>
            <w:pPr>
              <w:pStyle w:val="Compact"/>
            </w:pPr>
            <w:r>
              <w:t xml:space="preserve">Capex – support business</w:t>
            </w:r>
          </w:p>
        </w:tc>
        <w:tc>
          <w:tcPr/>
          <w:p>
            <w:pPr>
              <w:pStyle w:val="Compact"/>
            </w:pPr>
            <m:oMath>
              <m:r>
                <m:t>2</m:t>
              </m:r>
              <m:r>
                <m:rPr>
                  <m:sty m:val="p"/>
                </m:rPr>
                <m:t>,</m:t>
              </m:r>
              <m:r>
                <m:t>450</m:t>
              </m:r>
              <m:r>
                <m:rPr>
                  <m:sty m:val="p"/>
                </m:rPr>
                <m:t>–</m:t>
              </m:r>
            </m:oMath>
            <w:r>
              <w:t xml:space="preserve">2,550M</w:t>
            </w:r>
          </w:p>
        </w:tc>
        <w:tc>
          <w:tcPr/>
          <w:p>
            <w:pPr>
              <w:pStyle w:val="Compact"/>
            </w:pPr>
            <w:r>
              <w:t xml:space="preserve">-~$100M</w:t>
            </w:r>
          </w:p>
        </w:tc>
      </w:tr>
      <w:tr>
        <w:tc>
          <w:tcPr/>
          <w:p>
            <w:pPr>
              <w:pStyle w:val="Compact"/>
            </w:pPr>
            <w:r>
              <w:t xml:space="preserve">Sustainability growth capex</w:t>
            </w:r>
          </w:p>
        </w:tc>
        <w:tc>
          <w:tcPr/>
          <w:p>
            <w:pPr>
              <w:pStyle w:val="Compact"/>
            </w:pPr>
            <w:r>
              <w:t xml:space="preserve">~$200M</w:t>
            </w:r>
          </w:p>
        </w:tc>
        <w:tc>
          <w:tcPr/>
          <w:p>
            <w:pPr>
              <w:pStyle w:val="Compact"/>
            </w:pPr>
            <w:r>
              <w:t xml:space="preserve">-~$400M+</w:t>
            </w:r>
          </w:p>
        </w:tc>
      </w:tr>
      <w:tr>
        <w:tc>
          <w:tcPr/>
          <w:p>
            <w:pPr>
              <w:pStyle w:val="Compact"/>
            </w:pPr>
            <w:r>
              <w:t xml:space="preserve">Free Cash Flow</w:t>
            </w:r>
          </w:p>
        </w:tc>
        <w:tc>
          <w:tcPr/>
          <w:p>
            <w:pPr>
              <w:pStyle w:val="Compact"/>
            </w:pPr>
            <m:oMath>
              <m:r>
                <m:t>3</m:t>
              </m:r>
              <m:r>
                <m:rPr>
                  <m:sty m:val="p"/>
                </m:rPr>
                <m:t>,</m:t>
              </m:r>
              <m:r>
                <m:t>750</m:t>
              </m:r>
              <m:r>
                <m:rPr>
                  <m:sty m:val="p"/>
                </m:rPr>
                <m:t>–</m:t>
              </m:r>
            </m:oMath>
            <w:r>
              <w:t xml:space="preserve">3,850M</w:t>
            </w:r>
          </w:p>
        </w:tc>
        <w:tc>
          <w:tcPr/>
          <w:p>
            <w:pPr>
              <w:pStyle w:val="Compact"/>
            </w:pPr>
            <w:r>
              <w:t xml:space="preserve">+29.4%</w:t>
            </w:r>
          </w:p>
        </w:tc>
      </w:tr>
    </w:tbl>
    <w:p>
      <w:pPr>
        <w:pStyle w:val="BodyText"/>
      </w:pPr>
      <w:r>
        <w:t xml:space="preserve">Supporting assumptions include core price of 5.4%–5.8%, collection &amp; disposal yield of 3.2%–3.6%, volumes of 0.2%–0.6%, and combined Recycling/Renewable Energy/landfill-gas EBITDA growth of</w:t>
      </w:r>
      <w:r>
        <w:t xml:space="preserve"> </w:t>
      </w:r>
      <m:oMath>
        <m:r>
          <m:t>235</m:t>
        </m:r>
        <m:r>
          <m:rPr>
            <m:sty m:val="p"/>
          </m:rPr>
          <m:t>–</m:t>
        </m:r>
      </m:oMath>
      <w:r>
        <w:t xml:space="preserve">255 million. The Board has also signaled an annual dividend increase to</w:t>
      </w:r>
      <w:r>
        <w:t xml:space="preserve"> </w:t>
      </w:r>
      <m:oMath>
        <m:r>
          <m:t>3.78</m:t>
        </m:r>
        <m:r>
          <m:rPr>
            <m:sty m:val="p"/>
          </m:rPr>
          <m:t>/</m:t>
        </m:r>
        <m:r>
          <m:t>s</m:t>
        </m:r>
        <m:r>
          <m:t>h</m:t>
        </m:r>
        <m:r>
          <m:t>a</m:t>
        </m:r>
        <m:r>
          <m:t>r</m:t>
        </m:r>
        <m:r>
          <m:t>e</m:t>
        </m:r>
        <m:r>
          <m:t>a</m:t>
        </m:r>
        <m:r>
          <m:t>n</m:t>
        </m:r>
        <m:r>
          <m:t>d</m:t>
        </m:r>
        <m:r>
          <m:t>a</m:t>
        </m:r>
        <m:r>
          <m:t> </m:t>
        </m:r>
      </m:oMath>
      <w:r>
        <w:t xml:space="preserve">2 billion buyback authorization for the year, skewed 55%–60% toward the back half.</w:t>
      </w:r>
    </w:p>
    <w:bookmarkEnd w:id="11"/>
    <w:bookmarkStart w:id="12" w:name="Xeb559fe26ca371b9c76770c8248e669831414f9"/>
    <w:p>
      <w:pPr>
        <w:pStyle w:val="Heading2"/>
      </w:pPr>
      <w:r>
        <w:t xml:space="preserve">4. Key Watch Items for Q2</w:t>
      </w:r>
    </w:p>
    <w:p>
      <w:pPr>
        <w:pStyle w:val="FirstParagraph"/>
      </w:pPr>
      <w:r>
        <w:rPr>
          <w:b/>
          <w:bCs/>
        </w:rPr>
        <w:t xml:space="preserve">Tough wildfire comp, but favorable underlying trends.</w:t>
      </w:r>
      <w:r>
        <w:t xml:space="preserve"> </w:t>
      </w:r>
      <w:r>
        <w:t xml:space="preserve">Management flagged Q2 2025 special-waste/landfill volumes were inflated by roughly $85 million of Southern California wildfire cleanup revenue that won't repeat, creating a headwind to reported Collection &amp; Disposal growth and margin optics this quarter. Investors should look through this to underlying trends — MSW strength, a rebound in industrial roll-off volumes, and a healthy special-waste pipeline (excluding wildfire) — as better read-throughs on demand.</w:t>
      </w:r>
    </w:p>
    <w:p>
      <w:pPr>
        <w:pStyle w:val="BodyText"/>
      </w:pPr>
      <w:r>
        <w:rPr>
          <w:b/>
          <w:bCs/>
        </w:rPr>
        <w:t xml:space="preserve">Margin cadence.</w:t>
      </w:r>
      <w:r>
        <w:t xml:space="preserve"> </w:t>
      </w:r>
      <w:r>
        <w:t xml:space="preserve">Historically WM's EBITDA margin steps up 150–200 bps sequentially from Q1 to Q2; management indicated Q2 margin expansion will be "muted somewhat" by the non-repeat of wildfire volume in the high-flow-through landfill line, but still expects the full-year margin trajectory to mirror 2025's shape, with better sequential and year-over-year improvement in the back half.</w:t>
      </w:r>
    </w:p>
    <w:p>
      <w:pPr>
        <w:pStyle w:val="BodyText"/>
      </w:pPr>
      <w:r>
        <w:rPr>
          <w:b/>
          <w:bCs/>
        </w:rPr>
        <w:t xml:space="preserve">Healthcare Solutions inflection.</w:t>
      </w:r>
      <w:r>
        <w:t xml:space="preserve"> </w:t>
      </w:r>
      <w:r>
        <w:t xml:space="preserve">This remains a key swing factor. Q1 saw adjusted Healthcare Solutions EBITDA up nearly 12% on cost control and synergy capture, with management noting hospital customer losses came in better than feared (1 vs. a projected 3) and days-sales-outstanding and past-due receivables improving sharply. Management guided to a</w:t>
      </w:r>
      <w:r>
        <w:t xml:space="preserve"> </w:t>
      </w:r>
      <w:r>
        <w:rPr>
          <w:b/>
          <w:bCs/>
        </w:rPr>
        <w:t xml:space="preserve">second-half revenue growth inflection</w:t>
      </w:r>
      <w:r>
        <w:t xml:space="preserve"> </w:t>
      </w:r>
      <w:r>
        <w:t xml:space="preserve">as ERP issues stabilize, customer credits reverse, and cross-selling scales — Q2 commentary on the pace of that inflection, and progress toward the targeted</w:t>
      </w:r>
      <w:r>
        <w:t xml:space="preserve"> </w:t>
      </w:r>
      <m:oMath>
        <m:r>
          <m:t>300</m:t>
        </m:r>
        <m:r>
          <m:rPr>
            <m:sty m:val="p"/>
          </m:rPr>
          <m:t>–</m:t>
        </m:r>
      </m:oMath>
      <w:r>
        <w:t xml:space="preserve">325 million run-rate synergies by 2027, will be closely watched.</w:t>
      </w:r>
    </w:p>
    <w:p>
      <w:pPr>
        <w:pStyle w:val="BodyText"/>
      </w:pPr>
      <w:r>
        <w:rPr>
          <w:b/>
          <w:bCs/>
        </w:rPr>
        <w:t xml:space="preserve">Sustainability/RNG ramp.</w:t>
      </w:r>
      <w:r>
        <w:t xml:space="preserve"> </w:t>
      </w:r>
      <w:r>
        <w:t xml:space="preserve">Renewable natural gas EBITDA more than doubled in Q1 on new plant completions, with three additional RNG facilities expected online in Q2 and the remainder in the back half. Recycling commodity pricing (single-stream around</w:t>
      </w:r>
      <w:r>
        <w:t xml:space="preserve"> </w:t>
      </w:r>
      <m:oMath>
        <m:r>
          <m:t>65</m:t>
        </m:r>
        <m:r>
          <m:rPr>
            <m:sty m:val="p"/>
          </m:rPr>
          <m:t>–</m:t>
        </m:r>
      </m:oMath>
      <w:r>
        <w:t xml:space="preserve">70/ton) and RIN pricing (~</w:t>
      </w:r>
      <m:oMath>
        <m:r>
          <m:t>2.32</m:t>
        </m:r>
        <m:r>
          <m:rPr>
            <m:sty m:val="p"/>
          </m:rPr>
          <m:t>–</m:t>
        </m:r>
      </m:oMath>
      <w:r>
        <w:t xml:space="preserve">2.40) remain swing factors, though management noted 80% of 2026 RNG volume is already locked in, up from 60% at the start of the year.</w:t>
      </w:r>
    </w:p>
    <w:p>
      <w:pPr>
        <w:pStyle w:val="BodyText"/>
      </w:pPr>
      <w:r>
        <w:rPr>
          <w:b/>
          <w:bCs/>
        </w:rPr>
        <w:t xml:space="preserve">Cost/price spread and fuel surcharges.</w:t>
      </w:r>
      <w:r>
        <w:t xml:space="preserve"> </w:t>
      </w:r>
      <w:r>
        <w:t xml:space="preserve">Watch whether the roughly 20 bps drag from fuel-surcharge timing lag persists, and whether core pricing (especially in MSW and landfill, which ran above 7.5%–6.9% in Q1) continues to outpace ~3.5%–4% cost inflation, preserving the price-cost spread that drove Q1's margin beat.</w:t>
      </w:r>
    </w:p>
    <w:p>
      <w:pPr>
        <w:pStyle w:val="BodyText"/>
      </w:pPr>
      <w:r>
        <w:rPr>
          <w:b/>
          <w:bCs/>
        </w:rPr>
        <w:t xml:space="preserve">Capital allocation.</w:t>
      </w:r>
      <w:r>
        <w:t xml:space="preserve"> </w:t>
      </w:r>
      <w:r>
        <w:t xml:space="preserve">Confirmation of buyback pace (targeting ~$2 billion for the year, more back-half weighted) and any update on the tuck-in M&amp;A pipeline (guided at</w:t>
      </w:r>
      <w:r>
        <w:t xml:space="preserve"> </w:t>
      </w:r>
      <m:oMath>
        <m:r>
          <m:t>100</m:t>
        </m:r>
        <m:r>
          <m:rPr>
            <m:sty m:val="p"/>
          </m:rPr>
          <m:t>–</m:t>
        </m:r>
      </m:oMath>
      <w:r>
        <w:t xml:space="preserve">200 million, potentially trending higher) will matter for the capital-return narrative, alongside confirmation that leverage remains within the 2.5x–3.0x target band.</w:t>
      </w:r>
    </w:p>
    <w:bookmarkEnd w:id="12"/>
    <w:bookmarkStart w:id="13" w:name="X57628814808a35a4369fd5359a6196ebc53c3e9"/>
    <w:p>
      <w:pPr>
        <w:pStyle w:val="Heading2"/>
      </w:pPr>
      <w:r>
        <w:t xml:space="preserve">5. Bottom Line</w:t>
      </w:r>
    </w:p>
    <w:p>
      <w:pPr>
        <w:pStyle w:val="FirstParagraph"/>
      </w:pPr>
      <w:r>
        <w:t xml:space="preserve">WM heads into Q2 with consensus looking for continued mid-single-digit EPS and revenue growth, a full-year guide that management has repeatedly reaffirmed, and several self-help levers (pricing discipline, automation/AI-driven cost control, Healthcare Solutions synergy capture, and a maturing renewable energy portfolio) that have supported margin expansion even amid soft volumes. The key debate for the print is less about the headline beat/miss and more about (1) whether volume trends (MSW, industrial, special waste) are genuinely inflecting positive as management suggested using intra-quarter data, (2) whether Healthcare Solutions is on track for its promised second-half revenue acceleration, and (3) whether management's promised "refresh" of full-year guidance skews positive or simply reaffirms the existing range given the tougher wildfire-related comp in Q2.</w:t>
      </w:r>
    </w:p>
    <w:bookmarkEnd w:id="13"/>
    <w:sectPr>
      <w:footnotePr>
        <w:numRestart w:val="eachSect"/>
      </w:footnotePr>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r="http://schemas.openxmlformats.org/officeDocument/2006/relationships" xmlns:w="http://schemas.openxmlformats.org/wordprocessingml/2006/main">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numbering.xml><?xml version="1.0" encoding="utf-8"?>
<w:numbering xmlns:w="http://schemas.openxmlformats.org/wordprocessingml/2006/main">
  <w:abstractNum w:abstractNumId="990">
    <w:nsid w:val="0000A990"/>
    <w:multiLevelType w:val="multilevel"/>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num w:numId="1000">
    <w:abstractNumId w:val="990"/>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00"/>
  <w:embedSystemFonts/>
  <w:proofState w:grammar="clean" w:spelling="clean"/>
  <w:stylePaneFormatFilter w:val="0004"/>
  <w:doNotTrackMoves/>
  <w:defaultTabStop w:val="720"/>
  <w:drawingGridHorizontalSpacing w:val="360"/>
  <w:drawingGridVerticalSpacing w:val="360"/>
  <w:displayHorizontalDrawingGridEvery w:val="0"/>
  <w:displayVerticalDrawingGridEvery w:val="0"/>
  <w:characterSpacingControl w:val="doNotCompress"/>
  <w:savePreviewPicture/>
  <w:rsids>
  </w:rsids>
  <w:themeFontLang w:val="en-US"/>
  <w:clrSchemeMapping w:accent1="accent1" w:accent2="accent2" w:accent3="accent3" w:accent4="accent4" w:accent5="accent5" w:accent6="accent6" w:bg1="light1" w:bg2="light2" w:followedHyperlink="followedHyperlink" w:hyperlink="hyperlink" w:t1="dark1" w:t2="dark2"/>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cstheme="minorBidi" w:eastAsiaTheme="minorEastAsia" w:hAnsiTheme="minorHAnsi"/>
        <w:sz w:val="24"/>
        <w:szCs w:val="24"/>
        <w:lang w:bidi="ar-SA" w:eastAsia="zh-CN" w:val="en-US"/>
      </w:rPr>
    </w:rPrDefault>
    <w:pPrDefault>
      <w:pPr>
        <w:spacing w:after="200"/>
      </w:pPr>
    </w:pPrDefault>
  </w:docDefaults>
  <w:latentStyles w:count="276" w:defLockedState="0" w:defQFormat="0" w:defSemiHidden="0" w:defUIPriority="0" w:defUnhideWhenUsed="0"/>
  <w:style w:default="1" w:styleId="Normal" w:type="paragraph">
    <w:name w:val="Normal"/>
    <w:qFormat/>
  </w:style>
  <w:style w:styleId="BodyText" w:type="paragraph">
    <w:name w:val="Body Text"/>
    <w:basedOn w:val="Normal"/>
    <w:link w:val="BodyTextChar"/>
    <w:qFormat/>
    <w:pPr>
      <w:spacing w:after="180" w:before="180"/>
    </w:pPr>
  </w:style>
  <w:style w:customStyle="1" w:styleId="FirstParagraph" w:type="paragraph">
    <w:name w:val="First Paragraph"/>
    <w:basedOn w:val="BodyText"/>
    <w:next w:val="BodyText"/>
    <w:qFormat/>
  </w:style>
  <w:style w:customStyle="1" w:styleId="Compact" w:type="paragraph">
    <w:name w:val="Compact"/>
    <w:basedOn w:val="BodyText"/>
    <w:qFormat/>
    <w:pPr>
      <w:spacing w:after="36" w:before="36"/>
    </w:pPr>
  </w:style>
  <w:style w:styleId="Title" w:type="paragraph">
    <w:name w:val="Title"/>
    <w:basedOn w:val="Normal"/>
    <w:next w:val="BodyText"/>
    <w:link w:val="TitleChar"/>
    <w:uiPriority w:val="10"/>
    <w:qFormat/>
    <w:rsid w:val="00A10FD9"/>
    <w:pPr>
      <w:spacing w:after="80" w:line="240" w:lineRule="auto"/>
      <w:contextualSpacing/>
      <w:jc w:val="center"/>
    </w:pPr>
    <w:rPr>
      <w:rFonts w:asciiTheme="majorHAnsi" w:cstheme="majorBidi" w:eastAsiaTheme="majorEastAsia" w:hAnsiTheme="majorHAnsi"/>
      <w:sz w:val="56"/>
      <w:szCs w:val="56"/>
    </w:rPr>
  </w:style>
  <w:style w:customStyle="1" w:styleId="TitleChar" w:type="character">
    <w:name w:val="Title Char"/>
    <w:basedOn w:val="DefaultParagraphFont"/>
    <w:link w:val="Title"/>
    <w:uiPriority w:val="10"/>
    <w:rsid w:val="00A10FD9"/>
    <w:rPr>
      <w:rFonts w:asciiTheme="majorHAnsi" w:cstheme="majorBidi" w:eastAsiaTheme="majorEastAsia" w:hAnsiTheme="majorHAnsi"/>
      <w:sz w:val="56"/>
      <w:szCs w:val="56"/>
    </w:rPr>
  </w:style>
  <w:style w:styleId="Subtitle" w:type="paragraph">
    <w:name w:val="Subtitle"/>
    <w:basedOn w:val="Title"/>
    <w:next w:val="BodyText"/>
    <w:link w:val="SubtitleChar"/>
    <w:uiPriority w:val="11"/>
    <w:qFormat/>
    <w:rsid w:val="00A10FD9"/>
    <w:pPr>
      <w:numPr>
        <w:ilvl w:val="1"/>
      </w:numPr>
    </w:pPr>
    <w:rPr>
      <w:rFonts w:cstheme="majorBidi" w:eastAsiaTheme="majorEastAsia"/>
      <w:spacing w:val="15"/>
      <w:sz w:val="28"/>
      <w:szCs w:val="28"/>
    </w:rPr>
  </w:style>
  <w:style w:customStyle="1" w:styleId="SubtitleChar" w:type="character">
    <w:name w:val="Subtitle Char"/>
    <w:basedOn w:val="DefaultParagraphFont"/>
    <w:link w:val="Subtitle"/>
    <w:uiPriority w:val="11"/>
    <w:rsid w:val="00A10FD9"/>
    <w:rPr>
      <w:rFonts w:cstheme="majorBidi" w:eastAsiaTheme="majorEastAsia"/>
      <w:color w:themeColor="text1" w:themeTint="A6" w:val="595959"/>
      <w:spacing w:val="15"/>
      <w:sz w:val="28"/>
      <w:szCs w:val="28"/>
    </w:rPr>
  </w:style>
  <w:style w:customStyle="1" w:styleId="Author" w:type="paragraph">
    <w:name w:val="Author"/>
    <w:basedOn w:val="Title"/>
    <w:next w:val="BodyText"/>
    <w:qFormat/>
    <w:pPr>
      <w:keepNext/>
      <w:keepLines/>
    </w:pPr>
    <w:rPr>
      <w:sz w:val="24"/>
      <w:szCs w:val="24"/>
    </w:rPr>
  </w:style>
  <w:style w:styleId="Date" w:type="paragraph">
    <w:name w:val="Date"/>
    <w:basedOn w:val="Title"/>
    <w:next w:val="BodyText"/>
    <w:qFormat/>
    <w:pPr>
      <w:keepNext/>
      <w:keepLines/>
    </w:pPr>
    <w:rPr>
      <w:sz w:val="24"/>
      <w:szCs w:val="24"/>
    </w:rPr>
  </w:style>
  <w:style w:customStyle="1" w:styleId="AbstractTitle" w:type="paragraph">
    <w:name w:val="Abstract Title"/>
    <w:basedOn w:val="Normal"/>
    <w:next w:val="Abstract"/>
    <w:qFormat/>
    <w:pPr>
      <w:keepNext/>
      <w:keepLines/>
      <w:spacing w:after="0" w:before="300"/>
      <w:jc w:val="center"/>
    </w:pPr>
    <w:rPr>
      <w:b/>
      <w:sz w:val="20"/>
      <w:szCs w:val="20"/>
    </w:rPr>
  </w:style>
  <w:style w:customStyle="1" w:styleId="Abstract" w:type="paragraph">
    <w:name w:val="Abstract"/>
    <w:basedOn w:val="Normal"/>
    <w:next w:val="BodyText"/>
    <w:qFormat/>
    <w:pPr>
      <w:keepNext/>
      <w:keepLines/>
      <w:spacing w:after="300" w:before="100"/>
    </w:pPr>
    <w:rPr>
      <w:sz w:val="20"/>
      <w:szCs w:val="20"/>
    </w:rPr>
  </w:style>
  <w:style w:styleId="Bibliography" w:type="paragraph">
    <w:name w:val="Bibliography"/>
    <w:basedOn w:val="Normal"/>
    <w:next w:val="Bibliography"/>
    <w:qFormat/>
    <w:pPr/>
    <w:rPr/>
  </w:style>
  <w:style w:styleId="Heading1" w:type="paragraph">
    <w:name w:val="heading 1"/>
    <w:basedOn w:val="Normal"/>
    <w:next w:val="BodyText"/>
    <w:link w:val="Heading1Char"/>
    <w:uiPriority w:val="9"/>
    <w:qFormat/>
    <w:rsid w:val="00A10FD9"/>
    <w:pPr>
      <w:keepNext/>
      <w:keepLines/>
      <w:spacing w:after="80" w:before="360"/>
      <w:outlineLvl w:val="0"/>
    </w:pPr>
    <w:rPr>
      <w:rFonts w:asciiTheme="majorHAnsi" w:cstheme="majorBidi" w:eastAsiaTheme="majorEastAsia" w:hAnsiTheme="majorHAnsi"/>
      <w:color w:themeColor="accent1" w:themeShade="BF" w:val="0F4761"/>
      <w:sz w:val="40"/>
      <w:szCs w:val="40"/>
    </w:rPr>
  </w:style>
  <w:style w:styleId="Heading2" w:type="paragraph">
    <w:name w:val="heading 2"/>
    <w:basedOn w:val="Normal"/>
    <w:next w:val="BodyText"/>
    <w:link w:val="Heading2Char"/>
    <w:uiPriority w:val="9"/>
    <w:semiHidden/>
    <w:unhideWhenUsed/>
    <w:qFormat/>
    <w:rsid w:val="00A10FD9"/>
    <w:pPr>
      <w:keepNext/>
      <w:keepLines/>
      <w:spacing w:after="80" w:before="160"/>
      <w:outlineLvl w:val="1"/>
    </w:pPr>
    <w:rPr>
      <w:rFonts w:asciiTheme="majorHAnsi" w:cstheme="majorBidi" w:eastAsiaTheme="majorEastAsia" w:hAnsiTheme="majorHAnsi"/>
      <w:color w:themeColor="accent1" w:themeShade="BF" w:val="0F4761"/>
      <w:sz w:val="32"/>
      <w:szCs w:val="32"/>
    </w:rPr>
  </w:style>
  <w:style w:styleId="Heading3" w:type="paragraph">
    <w:name w:val="heading 3"/>
    <w:basedOn w:val="Normal"/>
    <w:next w:val="BodyText"/>
    <w:link w:val="Heading3Char"/>
    <w:uiPriority w:val="9"/>
    <w:semiHidden/>
    <w:unhideWhenUsed/>
    <w:qFormat/>
    <w:rsid w:val="00A10FD9"/>
    <w:pPr>
      <w:keepNext/>
      <w:keepLines/>
      <w:spacing w:after="80" w:before="160"/>
      <w:outlineLvl w:val="2"/>
    </w:pPr>
    <w:rPr>
      <w:rFonts w:cstheme="majorBidi" w:eastAsiaTheme="majorEastAsia"/>
      <w:color w:themeColor="accent1" w:themeShade="BF" w:val="0F4761"/>
      <w:sz w:val="28"/>
      <w:szCs w:val="28"/>
    </w:rPr>
  </w:style>
  <w:style w:styleId="Heading4" w:type="paragraph">
    <w:name w:val="heading 4"/>
    <w:basedOn w:val="Normal"/>
    <w:next w:val="BodyText"/>
    <w:link w:val="Heading4Char"/>
    <w:uiPriority w:val="9"/>
    <w:semiHidden/>
    <w:unhideWhenUsed/>
    <w:qFormat/>
    <w:rsid w:val="00A10FD9"/>
    <w:pPr>
      <w:keepNext/>
      <w:keepLines/>
      <w:spacing w:after="40" w:before="80"/>
      <w:outlineLvl w:val="3"/>
    </w:pPr>
    <w:rPr>
      <w:rFonts w:cstheme="majorBidi" w:eastAsiaTheme="majorEastAsia"/>
      <w:i/>
      <w:iCs/>
      <w:color w:themeColor="accent1" w:themeShade="BF" w:val="0F4761"/>
    </w:rPr>
  </w:style>
  <w:style w:styleId="Heading5" w:type="paragraph">
    <w:name w:val="heading 5"/>
    <w:basedOn w:val="Normal"/>
    <w:next w:val="BodyText"/>
    <w:link w:val="Heading5Char"/>
    <w:uiPriority w:val="9"/>
    <w:semiHidden/>
    <w:unhideWhenUsed/>
    <w:qFormat/>
    <w:rsid w:val="00A10FD9"/>
    <w:pPr>
      <w:keepNext/>
      <w:keepLines/>
      <w:spacing w:after="40" w:before="80"/>
      <w:outlineLvl w:val="4"/>
    </w:pPr>
    <w:rPr>
      <w:rFonts w:cstheme="majorBidi" w:eastAsiaTheme="majorEastAsia"/>
      <w:color w:themeColor="accent1" w:themeShade="BF" w:val="0F4761"/>
    </w:rPr>
  </w:style>
  <w:style w:styleId="Heading6" w:type="paragraph">
    <w:name w:val="heading 6"/>
    <w:basedOn w:val="Normal"/>
    <w:next w:val="BodyText"/>
    <w:link w:val="Heading6Char"/>
    <w:uiPriority w:val="9"/>
    <w:semiHidden/>
    <w:unhideWhenUsed/>
    <w:qFormat/>
    <w:rsid w:val="00A10FD9"/>
    <w:pPr>
      <w:keepNext/>
      <w:keepLines/>
      <w:spacing w:after="0" w:before="40"/>
      <w:outlineLvl w:val="5"/>
    </w:pPr>
    <w:rPr>
      <w:rFonts w:cstheme="majorBidi" w:eastAsiaTheme="majorEastAsia"/>
      <w:i/>
      <w:iCs/>
      <w:color w:themeColor="text1" w:themeTint="A6" w:val="595959"/>
    </w:rPr>
  </w:style>
  <w:style w:styleId="Heading7" w:type="paragraph">
    <w:name w:val="heading 7"/>
    <w:basedOn w:val="Normal"/>
    <w:next w:val="BodyText"/>
    <w:link w:val="Heading7Char"/>
    <w:uiPriority w:val="9"/>
    <w:semiHidden/>
    <w:unhideWhenUsed/>
    <w:qFormat/>
    <w:rsid w:val="00A10FD9"/>
    <w:pPr>
      <w:keepNext/>
      <w:keepLines/>
      <w:spacing w:after="0" w:before="40"/>
      <w:outlineLvl w:val="6"/>
    </w:pPr>
    <w:rPr>
      <w:rFonts w:cstheme="majorBidi" w:eastAsiaTheme="majorEastAsia"/>
      <w:color w:themeColor="text1" w:themeTint="A6" w:val="595959"/>
    </w:rPr>
  </w:style>
  <w:style w:styleId="Heading8" w:type="paragraph">
    <w:name w:val="heading 8"/>
    <w:basedOn w:val="Normal"/>
    <w:next w:val="BodyText"/>
    <w:link w:val="Heading8Char"/>
    <w:uiPriority w:val="9"/>
    <w:semiHidden/>
    <w:unhideWhenUsed/>
    <w:qFormat/>
    <w:rsid w:val="00A10FD9"/>
    <w:pPr>
      <w:keepNext/>
      <w:keepLines/>
      <w:spacing w:after="0"/>
      <w:outlineLvl w:val="7"/>
    </w:pPr>
    <w:rPr>
      <w:rFonts w:cstheme="majorBidi" w:eastAsiaTheme="majorEastAsia"/>
      <w:i/>
      <w:iCs/>
      <w:color w:themeColor="text1" w:themeTint="D8" w:val="272727"/>
    </w:rPr>
  </w:style>
  <w:style w:styleId="Heading9" w:type="paragraph">
    <w:name w:val="heading 9"/>
    <w:basedOn w:val="Normal"/>
    <w:next w:val="BodyText"/>
    <w:link w:val="Heading9Char"/>
    <w:uiPriority w:val="9"/>
    <w:semiHidden/>
    <w:unhideWhenUsed/>
    <w:qFormat/>
    <w:rsid w:val="00A10FD9"/>
    <w:pPr>
      <w:keepNext/>
      <w:keepLines/>
      <w:spacing w:after="0"/>
      <w:outlineLvl w:val="8"/>
    </w:pPr>
    <w:rPr>
      <w:rFonts w:cstheme="majorBidi" w:eastAsiaTheme="majorEastAsia"/>
      <w:color w:themeColor="text1" w:themeTint="D8" w:val="272727"/>
    </w:rPr>
  </w:style>
  <w:style w:customStyle="1" w:styleId="Heading1Char" w:type="character">
    <w:name w:val="Heading 1 Char"/>
    <w:basedOn w:val="DefaultParagraphFont"/>
    <w:link w:val="Heading1"/>
    <w:uiPriority w:val="9"/>
    <w:rsid w:val="00A10FD9"/>
    <w:rPr>
      <w:rFonts w:asciiTheme="majorHAnsi" w:cstheme="majorBidi" w:eastAsiaTheme="majorEastAsia" w:hAnsiTheme="majorHAnsi"/>
      <w:color w:themeColor="accent1" w:themeShade="BF" w:val="0F4761"/>
      <w:sz w:val="40"/>
      <w:szCs w:val="40"/>
    </w:rPr>
  </w:style>
  <w:style w:customStyle="1" w:styleId="Heading2Char" w:type="character">
    <w:name w:val="Heading 2 Char"/>
    <w:basedOn w:val="DefaultParagraphFont"/>
    <w:link w:val="Heading2"/>
    <w:uiPriority w:val="9"/>
    <w:semiHidden/>
    <w:rsid w:val="00A10FD9"/>
    <w:rPr>
      <w:rFonts w:asciiTheme="majorHAnsi" w:cstheme="majorBidi" w:eastAsiaTheme="majorEastAsia" w:hAnsiTheme="majorHAnsi"/>
      <w:color w:themeColor="accent1" w:themeShade="BF" w:val="0F4761"/>
      <w:sz w:val="32"/>
      <w:szCs w:val="32"/>
    </w:rPr>
  </w:style>
  <w:style w:customStyle="1" w:styleId="Heading3Char" w:type="character">
    <w:name w:val="Heading 3 Char"/>
    <w:basedOn w:val="DefaultParagraphFont"/>
    <w:link w:val="Heading3"/>
    <w:uiPriority w:val="9"/>
    <w:semiHidden/>
    <w:rsid w:val="00A10FD9"/>
    <w:rPr>
      <w:rFonts w:cstheme="majorBidi" w:eastAsiaTheme="majorEastAsia"/>
      <w:color w:themeColor="accent1" w:themeShade="BF" w:val="0F4761"/>
      <w:sz w:val="28"/>
      <w:szCs w:val="28"/>
    </w:rPr>
  </w:style>
  <w:style w:customStyle="1" w:styleId="Heading4Char" w:type="character">
    <w:name w:val="Heading 4 Char"/>
    <w:basedOn w:val="DefaultParagraphFont"/>
    <w:link w:val="Heading4"/>
    <w:uiPriority w:val="9"/>
    <w:semiHidden/>
    <w:rsid w:val="00A10FD9"/>
    <w:rPr>
      <w:rFonts w:cstheme="majorBidi" w:eastAsiaTheme="majorEastAsia"/>
      <w:i/>
      <w:iCs/>
      <w:color w:themeColor="accent1" w:themeShade="BF" w:val="0F4761"/>
    </w:rPr>
  </w:style>
  <w:style w:customStyle="1" w:styleId="Heading5Char" w:type="character">
    <w:name w:val="Heading 5 Char"/>
    <w:basedOn w:val="DefaultParagraphFont"/>
    <w:link w:val="Heading5"/>
    <w:uiPriority w:val="9"/>
    <w:semiHidden/>
    <w:rsid w:val="00A10FD9"/>
    <w:rPr>
      <w:rFonts w:cstheme="majorBidi" w:eastAsiaTheme="majorEastAsia"/>
      <w:color w:themeColor="accent1" w:themeShade="BF" w:val="0F4761"/>
    </w:rPr>
  </w:style>
  <w:style w:customStyle="1" w:styleId="Heading6Char" w:type="character">
    <w:name w:val="Heading 6 Char"/>
    <w:basedOn w:val="DefaultParagraphFont"/>
    <w:link w:val="Heading6"/>
    <w:uiPriority w:val="9"/>
    <w:semiHidden/>
    <w:rsid w:val="00A10FD9"/>
    <w:rPr>
      <w:rFonts w:cstheme="majorBidi" w:eastAsiaTheme="majorEastAsia"/>
      <w:i/>
      <w:iCs/>
      <w:color w:themeColor="text1" w:themeTint="A6" w:val="595959"/>
    </w:rPr>
  </w:style>
  <w:style w:customStyle="1" w:styleId="Heading7Char" w:type="character">
    <w:name w:val="Heading 7 Char"/>
    <w:basedOn w:val="DefaultParagraphFont"/>
    <w:link w:val="Heading7"/>
    <w:uiPriority w:val="9"/>
    <w:semiHidden/>
    <w:rsid w:val="00A10FD9"/>
    <w:rPr>
      <w:rFonts w:cstheme="majorBidi" w:eastAsiaTheme="majorEastAsia"/>
      <w:color w:themeColor="text1" w:themeTint="A6" w:val="595959"/>
    </w:rPr>
  </w:style>
  <w:style w:customStyle="1" w:styleId="Heading8Char" w:type="character">
    <w:name w:val="Heading 8 Char"/>
    <w:basedOn w:val="DefaultParagraphFont"/>
    <w:link w:val="Heading8"/>
    <w:uiPriority w:val="9"/>
    <w:semiHidden/>
    <w:rsid w:val="00A10FD9"/>
    <w:rPr>
      <w:rFonts w:cstheme="majorBidi" w:eastAsiaTheme="majorEastAsia"/>
      <w:i/>
      <w:iCs/>
      <w:color w:themeColor="text1" w:themeTint="D8" w:val="272727"/>
    </w:rPr>
  </w:style>
  <w:style w:customStyle="1" w:styleId="Heading9Char" w:type="character">
    <w:name w:val="Heading 9 Char"/>
    <w:basedOn w:val="DefaultParagraphFont"/>
    <w:link w:val="Heading9"/>
    <w:uiPriority w:val="9"/>
    <w:semiHidden/>
    <w:rsid w:val="00A10FD9"/>
    <w:rPr>
      <w:rFonts w:cstheme="majorBidi" w:eastAsiaTheme="majorEastAsia"/>
      <w:color w:themeColor="text1" w:themeTint="D8" w:val="272727"/>
    </w:rPr>
  </w:style>
  <w:style w:styleId="BlockText" w:type="paragraph">
    <w:name w:val="Block Text"/>
    <w:basedOn w:val="BodyText"/>
    <w:next w:val="BodyText"/>
    <w:uiPriority w:val="9"/>
    <w:unhideWhenUsed/>
    <w:qFormat/>
    <w:pPr>
      <w:spacing w:after="100" w:before="100"/>
      <w:ind w:firstLine="0" w:left="480" w:right="480"/>
    </w:pPr>
  </w:style>
  <w:style w:styleId="FootnoteText" w:type="paragraph">
    <w:name w:val="Footnote Text"/>
    <w:basedOn w:val="Normal"/>
    <w:next w:val="FootnoteText"/>
    <w:uiPriority w:val="9"/>
    <w:unhideWhenUsed/>
    <w:qFormat/>
  </w:style>
  <w:style w:styleId="FootnoteBlockText" w:type="paragraph">
    <w:name w:val="Footnote Block Text"/>
    <w:basedOn w:val="FootnoteText"/>
    <w:next w:val="FootnoteText"/>
    <w:uiPriority w:val="9"/>
    <w:unhideWhenUsed/>
    <w:qFormat/>
    <w:pPr>
      <w:spacing w:after="100" w:before="100"/>
      <w:ind w:firstLine="0" w:left="480" w:right="480"/>
    </w:pPr>
  </w:style>
  <w:style w:default="1" w:styleId="DefaultParagraphFont" w:type="character">
    <w:name w:val="Default Paragraph Font"/>
    <w:semiHidden/>
    <w:unhideWhenUsed/>
  </w:style>
  <w:style w:default="1" w:styleId="Table" w:type="table">
    <w:name w:val="Table"/>
    <w:basedOn w:val="TableNormal"/>
    <w:semiHidden/>
    <w:unhideWhenUsed/>
    <w:qFormat/>
    <w:tblPr>
      <w:tblInd w:type="dxa" w:w="0"/>
      <w:tblCellMar>
        <w:top w:type="dxa" w:w="0"/>
        <w:left w:type="dxa" w:w="108"/>
        <w:bottom w:type="dxa" w:w="0"/>
        <w:right w:type="dxa" w:w="108"/>
      </w:tblCellMar>
    </w:tblPr>
    <w:tblStylePr w:type="firstRow">
      <w:tcPr>
        <w:tcBorders>
          <w:bottom w:val="single"/>
        </w:tcBorders>
        <w:vAlign w:val="bottom"/>
      </w:tcPr>
    </w:tblStylePr>
  </w:style>
  <w:style w:customStyle="1" w:styleId="DefinitionTerm" w:type="paragraph">
    <w:name w:val="Definition Term"/>
    <w:basedOn w:val="Normal"/>
    <w:next w:val="Definition"/>
    <w:pPr>
      <w:keepNext/>
      <w:keepLines/>
      <w:spacing w:after="0"/>
    </w:pPr>
    <w:rPr>
      <w:b/>
    </w:rPr>
  </w:style>
  <w:style w:customStyle="1" w:styleId="Definition" w:type="paragraph">
    <w:name w:val="Definition"/>
    <w:basedOn w:val="Normal"/>
  </w:style>
  <w:style w:styleId="Caption" w:type="paragraph">
    <w:name w:val="Caption"/>
    <w:basedOn w:val="Normal"/>
    <w:link w:val="BodyTextChar"/>
    <w:pPr>
      <w:spacing w:after="120" w:before="0"/>
    </w:pPr>
    <w:rPr>
      <w:i/>
    </w:rPr>
  </w:style>
  <w:style w:customStyle="1" w:styleId="TableCaption" w:type="paragraph">
    <w:name w:val="Table Caption"/>
    <w:basedOn w:val="Caption"/>
    <w:pPr>
      <w:keepNext/>
    </w:pPr>
  </w:style>
  <w:style w:customStyle="1" w:styleId="ImageCaption" w:type="paragraph">
    <w:name w:val="Image Caption"/>
    <w:basedOn w:val="Caption"/>
  </w:style>
  <w:style w:customStyle="1" w:styleId="Figure" w:type="paragraph">
    <w:name w:val="Figure"/>
    <w:basedOn w:val="Normal"/>
  </w:style>
  <w:style w:customStyle="1" w:styleId="CaptionedFigure" w:type="paragraph">
    <w:name w:val="Captioned Figure"/>
    <w:basedOn w:val="Figure"/>
    <w:pPr>
      <w:keepNext/>
    </w:pPr>
  </w:style>
  <w:style w:customStyle="1" w:styleId="BodyTextChar" w:type="character">
    <w:name w:val="Body Text Char"/>
    <w:basedOn w:val="DefaultParagraphFont"/>
    <w:link w:val="BodyText"/>
  </w:style>
  <w:style w:customStyle="1" w:styleId="VerbatimChar" w:type="character">
    <w:name w:val="Verbatim Char"/>
    <w:basedOn w:val="BodyTextChar"/>
    <w:rPr>
      <w:rFonts w:ascii="Consolas" w:hAnsi="Consolas"/>
      <w:sz w:val="22"/>
    </w:rPr>
  </w:style>
  <w:style w:customStyle="1" w:styleId="SectionNumber" w:type="character">
    <w:name w:val="Section Number"/>
    <w:basedOn w:val="BodyTextChar"/>
  </w:style>
  <w:style w:styleId="FootnoteReference" w:type="character">
    <w:name w:val="Footnote Reference"/>
    <w:basedOn w:val="BodyTextChar"/>
    <w:rPr>
      <w:vertAlign w:val="superscript"/>
    </w:rPr>
  </w:style>
  <w:style w:styleId="Hyperlink" w:type="character">
    <w:name w:val="Hyperlink"/>
    <w:basedOn w:val="BodyTextChar"/>
    <w:rPr>
      <w:color w:themeColor="accent1" w:val="4F81BD"/>
    </w:rPr>
  </w:style>
  <w:style w:styleId="TOCHeading" w:type="paragraph">
    <w:name w:val="TOC Heading"/>
    <w:basedOn w:val="Heading1"/>
    <w:next w:val="BodyText"/>
    <w:uiPriority w:val="39"/>
    <w:unhideWhenUsed/>
    <w:qFormat/>
    <w:pPr>
      <w:spacing w:before="240" w:line="259" w:lineRule="auto"/>
      <w:outlineLvl w:val="9"/>
    </w:pPr>
    <w:rPr>
      <w:rFonts w:asciiTheme="majorHAnsi" w:cstheme="majorBidi" w:eastAsiaTheme="majorEastAsia" w:hAnsiTheme="majorHAnsi"/>
      <w:b w:val="0"/>
      <w:bCs w:val="0"/>
      <w:color w:themeColor="accent1" w:themeShade="BF" w:val="365F91"/>
    </w:rPr>
  </w:style>
  <w:style w:type="paragraph" w:customStyle="1" w:styleId="SourceCode">
    <w:name w:val="Source Code"/>
    <w:basedOn w:val="Normal"/>
    <w:link w:val="VerbatimChar"/>
    <w:pPr>
      <w:wordWrap w:val="off"/>
    </w:pPr>
  </w:style>
  <w:style w:type="character" w:customStyle="1" w:styleId="KeywordTok">
    <w:name w:val="KeywordTok"/>
    <w:basedOn w:val="VerbatimChar"/>
    <w:rPr>
      <w:b/>
      <w:color w:val="007020"/>
    </w:rPr>
  </w:style>
  <w:style w:type="character" w:customStyle="1" w:styleId="DataTypeTok">
    <w:name w:val="DataTypeTok"/>
    <w:basedOn w:val="VerbatimChar"/>
    <w:rPr>
      <w:color w:val="902000"/>
    </w:rPr>
  </w:style>
  <w:style w:type="character" w:customStyle="1" w:styleId="DecValTok">
    <w:name w:val="DecValTok"/>
    <w:basedOn w:val="VerbatimChar"/>
    <w:rPr>
      <w:color w:val="40a070"/>
    </w:rPr>
  </w:style>
  <w:style w:type="character" w:customStyle="1" w:styleId="BaseNTok">
    <w:name w:val="BaseNTok"/>
    <w:basedOn w:val="VerbatimChar"/>
    <w:rPr>
      <w:color w:val="40a070"/>
    </w:rPr>
  </w:style>
  <w:style w:type="character" w:customStyle="1" w:styleId="FloatTok">
    <w:name w:val="FloatTok"/>
    <w:basedOn w:val="VerbatimChar"/>
    <w:rPr>
      <w:color w:val="40a070"/>
    </w:rPr>
  </w:style>
  <w:style w:type="character" w:customStyle="1" w:styleId="ConstantTok">
    <w:name w:val="ConstantTok"/>
    <w:basedOn w:val="VerbatimChar"/>
    <w:rPr>
      <w:color w:val="880000"/>
    </w:rPr>
  </w:style>
  <w:style w:type="character" w:customStyle="1" w:styleId="CharTok">
    <w:name w:val="CharTok"/>
    <w:basedOn w:val="VerbatimChar"/>
    <w:rPr>
      <w:color w:val="4070a0"/>
    </w:rPr>
  </w:style>
  <w:style w:type="character" w:customStyle="1" w:styleId="SpecialCharTok">
    <w:name w:val="SpecialCharTok"/>
    <w:basedOn w:val="VerbatimChar"/>
    <w:rPr>
      <w:color w:val="4070a0"/>
    </w:rPr>
  </w:style>
  <w:style w:type="character" w:customStyle="1" w:styleId="StringTok">
    <w:name w:val="StringTok"/>
    <w:basedOn w:val="VerbatimChar"/>
    <w:rPr>
      <w:color w:val="4070a0"/>
    </w:rPr>
  </w:style>
  <w:style w:type="character" w:customStyle="1" w:styleId="VerbatimStringTok">
    <w:name w:val="VerbatimStringTok"/>
    <w:basedOn w:val="VerbatimChar"/>
    <w:rPr>
      <w:color w:val="4070a0"/>
    </w:rPr>
  </w:style>
  <w:style w:type="character" w:customStyle="1" w:styleId="SpecialStringTok">
    <w:name w:val="SpecialStringTok"/>
    <w:basedOn w:val="VerbatimChar"/>
    <w:rPr>
      <w:color w:val="bb6688"/>
    </w:rPr>
  </w:style>
  <w:style w:type="character" w:customStyle="1" w:styleId="ImportTok">
    <w:name w:val="ImportTok"/>
    <w:basedOn w:val="VerbatimChar"/>
    <w:rPr>
      <w:b/>
      <w:color w:val="008000"/>
    </w:rPr>
  </w:style>
  <w:style w:type="character" w:customStyle="1" w:styleId="CommentTok">
    <w:name w:val="CommentTok"/>
    <w:basedOn w:val="VerbatimChar"/>
    <w:rPr>
      <w:i/>
      <w:color w:val="60a0b0"/>
    </w:rPr>
  </w:style>
  <w:style w:type="character" w:customStyle="1" w:styleId="DocumentationTok">
    <w:name w:val="DocumentationTok"/>
    <w:basedOn w:val="VerbatimChar"/>
    <w:rPr>
      <w:i/>
      <w:color w:val="ba2121"/>
    </w:rPr>
  </w:style>
  <w:style w:type="character" w:customStyle="1" w:styleId="AnnotationTok">
    <w:name w:val="AnnotationTok"/>
    <w:basedOn w:val="VerbatimChar"/>
    <w:rPr>
      <w:b/>
      <w:i/>
      <w:color w:val="60a0b0"/>
    </w:rPr>
  </w:style>
  <w:style w:type="character" w:customStyle="1" w:styleId="CommentVarTok">
    <w:name w:val="CommentVarTok"/>
    <w:basedOn w:val="VerbatimChar"/>
    <w:rPr>
      <w:b/>
      <w:i/>
      <w:color w:val="60a0b0"/>
    </w:rPr>
  </w:style>
  <w:style w:type="character" w:customStyle="1" w:styleId="OtherTok">
    <w:name w:val="OtherTok"/>
    <w:basedOn w:val="VerbatimChar"/>
    <w:rPr>
      <w:color w:val="007020"/>
    </w:rPr>
  </w:style>
  <w:style w:type="character" w:customStyle="1" w:styleId="FunctionTok">
    <w:name w:val="FunctionTok"/>
    <w:basedOn w:val="VerbatimChar"/>
    <w:rPr>
      <w:color w:val="06287e"/>
    </w:rPr>
  </w:style>
  <w:style w:type="character" w:customStyle="1" w:styleId="VariableTok">
    <w:name w:val="VariableTok"/>
    <w:basedOn w:val="VerbatimChar"/>
    <w:rPr>
      <w:color w:val="19177c"/>
    </w:rPr>
  </w:style>
  <w:style w:type="character" w:customStyle="1" w:styleId="ControlFlowTok">
    <w:name w:val="ControlFlowTok"/>
    <w:basedOn w:val="VerbatimChar"/>
    <w:rPr>
      <w:b/>
      <w:color w:val="007020"/>
    </w:rPr>
  </w:style>
  <w:style w:type="character" w:customStyle="1" w:styleId="OperatorTok">
    <w:name w:val="OperatorTok"/>
    <w:basedOn w:val="VerbatimChar"/>
    <w:rPr>
      <w:color w:val="666666"/>
    </w:rPr>
  </w:style>
  <w:style w:type="character" w:customStyle="1" w:styleId="BuiltInTok">
    <w:name w:val="BuiltInTok"/>
    <w:basedOn w:val="VerbatimChar"/>
    <w:rPr>
      <w:color w:val="008000"/>
    </w:rPr>
  </w:style>
  <w:style w:type="character" w:customStyle="1" w:styleId="ExtensionTok">
    <w:name w:val="ExtensionTok"/>
    <w:basedOn w:val="VerbatimChar"/>
    <w:rPr/>
  </w:style>
  <w:style w:type="character" w:customStyle="1" w:styleId="PreprocessorTok">
    <w:name w:val="PreprocessorTok"/>
    <w:basedOn w:val="VerbatimChar"/>
    <w:rPr>
      <w:color w:val="bc7a00"/>
    </w:rPr>
  </w:style>
  <w:style w:type="character" w:customStyle="1" w:styleId="AttributeTok">
    <w:name w:val="AttributeTok"/>
    <w:basedOn w:val="VerbatimChar"/>
    <w:rPr>
      <w:color w:val="7d9029"/>
    </w:rPr>
  </w:style>
  <w:style w:type="character" w:customStyle="1" w:styleId="RegionMarkerTok">
    <w:name w:val="RegionMarkerTok"/>
    <w:basedOn w:val="VerbatimChar"/>
    <w:rPr/>
  </w:style>
  <w:style w:type="character" w:customStyle="1" w:styleId="InformationTok">
    <w:name w:val="InformationTok"/>
    <w:basedOn w:val="VerbatimChar"/>
    <w:rPr>
      <w:b/>
      <w:i/>
      <w:color w:val="60a0b0"/>
    </w:rPr>
  </w:style>
  <w:style w:type="character" w:customStyle="1" w:styleId="WarningTok">
    <w:name w:val="WarningTok"/>
    <w:basedOn w:val="VerbatimChar"/>
    <w:rPr>
      <w:b/>
      <w:i/>
      <w:color w:val="60a0b0"/>
    </w:rPr>
  </w:style>
  <w:style w:type="character" w:customStyle="1" w:styleId="AlertTok">
    <w:name w:val="AlertTok"/>
    <w:basedOn w:val="VerbatimChar"/>
    <w:rPr>
      <w:b/>
      <w:color w:val="ff0000"/>
    </w:rPr>
  </w:style>
  <w:style w:type="character" w:customStyle="1" w:styleId="ErrorTok">
    <w:name w:val="ErrorTok"/>
    <w:basedOn w:val="VerbatimChar"/>
    <w:rPr>
      <w:b/>
      <w:color w:val="ff0000"/>
    </w:rPr>
  </w:style>
  <w:style w:type="character" w:customStyle="1" w:styleId="NormalTok">
    <w:name w:val="NormalTok"/>
    <w:basedOn w:val="VerbatimChar"/>
    <w:rPr/>
  </w:style>
</w:styles>
</file>

<file path=word/webSettings.xml><?xml version="1.0" encoding="utf-8"?>
<ns0:webSettings xmlns:ns0="http://schemas.openxmlformats.org/wordprocessingml/2006/main">
  <ns0:allowPNG/>
  <ns0:doNotSaveAsSingleFile/>
</ns0:webSettings>
</file>

<file path=word/_rels/document.xml.rels><?xml version="1.0" encoding="UTF-8"?><Relationships xmlns="http://schemas.openxmlformats.org/package/2006/relationships"><Relationship Type="http://schemas.openxmlformats.org/officeDocument/2006/relationships/numbering" Id="rId8" Target="numbering.xml" /><Relationship Type="http://schemas.openxmlformats.org/officeDocument/2006/relationships/styles" Id="rId7" Target="styles.xml" /><Relationship Type="http://schemas.openxmlformats.org/officeDocument/2006/relationships/settings" Id="rId6" Target="settings.xml" /><Relationship Type="http://schemas.openxmlformats.org/officeDocument/2006/relationships/webSettings" Id="rId5" Target="webSettings.xml" /><Relationship Type="http://schemas.openxmlformats.org/officeDocument/2006/relationships/fontTable" Id="rId4" Target="fontTable.xml" /><Relationship Type="http://schemas.openxmlformats.org/officeDocument/2006/relationships/theme" Id="rId3" Target="theme/theme1.xml" /><Relationship Type="http://schemas.openxmlformats.org/officeDocument/2006/relationships/footnotes" Id="rId2" Target="footnotes.xml" /><Relationship Type="http://schemas.openxmlformats.org/officeDocument/2006/relationships/comments" Id="rId1" Target="comments.xml" /></Relationships>
</file>

<file path=word/_rels/footnotes.xml.rels><?xml version="1.0" encoding="UTF-8"?><Relationships xmlns="http://schemas.openxmlformats.org/package/2006/relationships" />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Words>83</Words>
  <SharedDoc>false</SharedDoc>
  <HyperlinksChanged>false</HyperlinksChanged>
  <Lines>12</Lines>
  <AppVersion>12.0000</AppVersion>
  <LinksUpToDate>false</LinksUpToDate>
  <Application>Microsoft Word 12.0.0</Application>
  <CharactersWithSpaces>583</CharactersWithSpaces>
  <Template>Normal.dotm</Template>
  <DocSecurity>0</DocSecurity>
  <TotalTime>6</TotalTime>
  <ScaleCrop>false</ScaleCrop>
  <Characters>475</Characters>
  <Paragraphs>8</Paragraphs>
  <Pages>1</Pag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dcterms:created xsi:type="dcterms:W3CDTF">2026-07-28T01:45:17Z</dcterms:created>
  <dcterms:modified xsi:type="dcterms:W3CDTF">2026-07-28T01:45:17Z</dcterms:modified>
</cp:coreProperties>
</file>

<file path=docProps/custom.xml><?xml version="1.0" encoding="utf-8"?>
<Properties xmlns="http://schemas.openxmlformats.org/officeDocument/2006/custom-properties" xmlns:vt="http://schemas.openxmlformats.org/officeDocument/2006/docPropsVTypes"/>
</file>