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m-earnings-predictions--2026-07-28"/>
    <w:p>
      <w:pPr>
        <w:pStyle w:val="Heading1"/>
      </w:pPr>
      <w:r>
        <w:t xml:space="preserve">WM Earnings Predictions — 2026-07-28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~$6.67B vs. cons $6.70B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adjusted operating EBITDA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~$2.03B vs. cons $2.04B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adjusted EPS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~$1.97 vs. cons $2.00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Revenue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~$26.53B vs. cons $26.51B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Adjusted operating EBITDA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~$8.20B vs. cons $8.20B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Free cash flow guidance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~$3.80B vs. cons $3.82B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-1.6%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-1.0% (FADE)</w:t>
            </w:r>
          </w:p>
        </w:tc>
        <w:tc>
          <w:tcPr/>
          <w:p>
            <w:pPr>
              <w:pStyle w:val="Compact"/>
            </w:pPr>
            <w:r>
              <w:t xml:space="preserve">A modest EPS miss and free-cash-flow guide below consensus drive the initial decline, but in-line EBITDA, unchanged FY2026 guidance, easier wildfire comparisons after July, and second-half Healthcare Solutions and sustainability contributions limit out-period estimate cuts and allow part of the day-1 reaction to fade.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2026-07-28T01:45:19Z</dcterms:created>
  <dcterms:modified xsi:type="dcterms:W3CDTF">2026-07-28T01:45:19Z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