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3" w:name="wm-2026-q2-earnings-preview"/>
    <w:p>
      <w:pPr>
        <w:pStyle w:val="Heading1"/>
      </w:pPr>
      <w:r>
        <w:t xml:space="preserve">WM 2026 Q2 Earnings Preview</w:t>
      </w:r>
    </w:p>
    <w:p>
      <w:pPr>
        <w:pStyle w:val="BlockText"/>
      </w:pPr>
      <w:r>
        <w:rPr>
          <w:b/>
          <w:bCs/>
        </w:rPr>
        <w:t xml:space="preserve">Timing clarification:</w:t>
      </w:r>
      <w:r>
        <w:t xml:space="preserve"> </w:t>
      </w:r>
      <w:r>
        <w:t xml:space="preserve">WM is scheduled to release second-quarter results</w:t>
      </w:r>
      <w:r>
        <w:t xml:space="preserve"> </w:t>
      </w:r>
      <w:r>
        <w:rPr>
          <w:b/>
          <w:bCs/>
        </w:rPr>
        <w:t xml:space="preserve">after the market closes today, Tuesday, July 28, 2026</w:t>
      </w:r>
      <w:r>
        <w:t xml:space="preserve">. The earnings call is</w:t>
      </w:r>
      <w:r>
        <w:t xml:space="preserve"> </w:t>
      </w:r>
      <w:r>
        <w:rPr>
          <w:b/>
          <w:bCs/>
        </w:rPr>
        <w:t xml:space="preserve">tomorrow, Wednesday, July 29, at 10:00 a.m. ET</w:t>
      </w:r>
      <w:r>
        <w:t xml:space="preserve">.</w:t>
      </w:r>
    </w:p>
    <w:bookmarkStart w:id="9" w:name="investment-view-going-into-the-report"/>
    <w:p>
      <w:pPr>
        <w:pStyle w:val="Heading2"/>
      </w:pPr>
      <w:r>
        <w:t xml:space="preserve">Investment view going into the report</w:t>
      </w:r>
    </w:p>
    <w:p>
      <w:pPr>
        <w:pStyle w:val="FirstParagraph"/>
      </w:pPr>
      <w:r>
        <w:t xml:space="preserve">The central question is not whether WM’s core waste business remains healthy—it almost certainly does—but whether strength in pricing, cost control, sustainability projects, and Healthcare Solutions can overcome an unusually difficult comparison from last year’s wildfire-cleanup activity.</w:t>
      </w:r>
    </w:p>
    <w:p>
      <w:pPr>
        <w:pStyle w:val="BodyText"/>
      </w:pPr>
      <w:r>
        <w:t xml:space="preserve">WM entered Q2 with:</w:t>
      </w:r>
    </w:p>
    <w:p>
      <w:pPr>
        <w:pStyle w:val="Compact"/>
        <w:numPr>
          <w:ilvl w:val="0"/>
          <w:numId w:val="1001"/>
        </w:numPr>
      </w:pPr>
      <w:r>
        <w:t xml:space="preserve">Strong collection and disposal pricing</w:t>
      </w:r>
    </w:p>
    <w:p>
      <w:pPr>
        <w:pStyle w:val="Compact"/>
        <w:numPr>
          <w:ilvl w:val="0"/>
          <w:numId w:val="1001"/>
        </w:numPr>
      </w:pPr>
      <w:r>
        <w:t xml:space="preserve">More than 200 basis points of price-cost spread</w:t>
      </w:r>
    </w:p>
    <w:p>
      <w:pPr>
        <w:pStyle w:val="Compact"/>
        <w:numPr>
          <w:ilvl w:val="0"/>
          <w:numId w:val="1001"/>
        </w:numPr>
      </w:pPr>
      <w:r>
        <w:t xml:space="preserve">Improving underlying special-waste and municipal-solid-waste volumes</w:t>
      </w:r>
    </w:p>
    <w:p>
      <w:pPr>
        <w:pStyle w:val="Compact"/>
        <w:numPr>
          <w:ilvl w:val="0"/>
          <w:numId w:val="1001"/>
        </w:numPr>
      </w:pPr>
      <w:r>
        <w:t xml:space="preserve">Rapid earnings growth in renewable energy</w:t>
      </w:r>
    </w:p>
    <w:p>
      <w:pPr>
        <w:pStyle w:val="Compact"/>
        <w:numPr>
          <w:ilvl w:val="0"/>
          <w:numId w:val="1001"/>
        </w:numPr>
      </w:pPr>
      <w:r>
        <w:t xml:space="preserve">Expanding Healthcare Solutions margins despite weak revenue</w:t>
      </w:r>
    </w:p>
    <w:p>
      <w:pPr>
        <w:pStyle w:val="Compact"/>
        <w:numPr>
          <w:ilvl w:val="0"/>
          <w:numId w:val="1001"/>
        </w:numPr>
      </w:pPr>
      <w:r>
        <w:t xml:space="preserve">Full-year guidance intact</w:t>
      </w:r>
    </w:p>
    <w:p>
      <w:pPr>
        <w:pStyle w:val="Compact"/>
        <w:numPr>
          <w:ilvl w:val="0"/>
          <w:numId w:val="1001"/>
        </w:numPr>
      </w:pPr>
      <w:r>
        <w:t xml:space="preserve">A substantially improved free-cash-flow profile</w:t>
      </w:r>
    </w:p>
    <w:p>
      <w:pPr>
        <w:pStyle w:val="FirstParagraph"/>
      </w:pPr>
      <w:r>
        <w:t xml:space="preserve">That creates a reasonably constructive operating setup. However, expectations are also high: at approximately</w:t>
      </w:r>
      <w:r>
        <w:t xml:space="preserve"> </w:t>
      </w:r>
      <w:r>
        <w:rPr>
          <w:b/>
          <w:bCs/>
        </w:rPr>
        <w:t xml:space="preserve">$238 per share</w:t>
      </w:r>
      <w:r>
        <w:t xml:space="preserve">, WM trades at roughly</w:t>
      </w:r>
      <w:r>
        <w:t xml:space="preserve"> </w:t>
      </w:r>
      <w:r>
        <w:rPr>
          <w:b/>
          <w:bCs/>
        </w:rPr>
        <w:t xml:space="preserve">14.5x enterprise value to the midpoint of 2026 adjusted EBITDA guidance</w:t>
      </w:r>
      <w:r>
        <w:t xml:space="preserve"> </w:t>
      </w:r>
      <w:r>
        <w:t xml:space="preserve">and offers an implied free-cash-flow yield of about</w:t>
      </w:r>
      <w:r>
        <w:t xml:space="preserve"> </w:t>
      </w:r>
      <w:r>
        <w:rPr>
          <w:b/>
          <w:bCs/>
        </w:rPr>
        <w:t xml:space="preserve">4%</w:t>
      </w:r>
      <w:r>
        <w:t xml:space="preserve">. At that valuation, investors will probably require more than a routine guidance reaffirmation.</w:t>
      </w:r>
    </w:p>
    <w:bookmarkEnd w:id="9"/>
    <w:bookmarkStart w:id="12" w:name="the-relevant-baseline"/>
    <w:p>
      <w:pPr>
        <w:pStyle w:val="Heading2"/>
      </w:pPr>
      <w:r>
        <w:t xml:space="preserve">The relevant baseline</w:t>
      </w:r>
    </w:p>
    <w:bookmarkStart w:id="10" w:name="first-quarter-performance"/>
    <w:p>
      <w:pPr>
        <w:pStyle w:val="Heading3"/>
      </w:pPr>
      <w:r>
        <w:t xml:space="preserve">First-quarter performance</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Metric</w:t>
            </w:r>
          </w:p>
        </w:tc>
        <w:tc>
          <w:tcPr/>
          <w:p>
            <w:pPr>
              <w:pStyle w:val="Compact"/>
              <w:jc w:val="right"/>
            </w:pPr>
            <w:r>
              <w:t xml:space="preserve">Q1 2026</w:t>
            </w:r>
          </w:p>
        </w:tc>
        <w:tc>
          <w:tcPr/>
          <w:p>
            <w:pPr>
              <w:pStyle w:val="Compact"/>
              <w:jc w:val="right"/>
            </w:pPr>
            <w:r>
              <w:t xml:space="preserve">Year-over-year</w:t>
            </w:r>
          </w:p>
        </w:tc>
      </w:tr>
      <w:tr>
        <w:tc>
          <w:tcPr/>
          <w:p>
            <w:pPr>
              <w:pStyle w:val="Compact"/>
            </w:pPr>
            <w:r>
              <w:t xml:space="preserve">Revenue</w:t>
            </w:r>
          </w:p>
        </w:tc>
        <w:tc>
          <w:tcPr/>
          <w:p>
            <w:pPr>
              <w:pStyle w:val="Compact"/>
              <w:jc w:val="right"/>
            </w:pPr>
            <w:r>
              <w:t xml:space="preserve">$6.23B</w:t>
            </w:r>
          </w:p>
        </w:tc>
        <w:tc>
          <w:tcPr/>
          <w:p>
            <w:pPr>
              <w:pStyle w:val="Compact"/>
              <w:jc w:val="right"/>
            </w:pPr>
            <w:r>
              <w:t xml:space="preserve">+3.5%</w:t>
            </w:r>
          </w:p>
        </w:tc>
      </w:tr>
      <w:tr>
        <w:tc>
          <w:tcPr/>
          <w:p>
            <w:pPr>
              <w:pStyle w:val="Compact"/>
            </w:pPr>
            <w:r>
              <w:t xml:space="preserve">Adjusted operating EBITDA</w:t>
            </w:r>
          </w:p>
        </w:tc>
        <w:tc>
          <w:tcPr/>
          <w:p>
            <w:pPr>
              <w:pStyle w:val="Compact"/>
              <w:jc w:val="right"/>
            </w:pPr>
            <w:r>
              <w:t xml:space="preserve">$1.85B</w:t>
            </w:r>
          </w:p>
        </w:tc>
        <w:tc>
          <w:tcPr/>
          <w:p>
            <w:pPr>
              <w:pStyle w:val="Compact"/>
              <w:jc w:val="right"/>
            </w:pPr>
            <w:r>
              <w:t xml:space="preserve">+5.9%</w:t>
            </w:r>
          </w:p>
        </w:tc>
      </w:tr>
      <w:tr>
        <w:tc>
          <w:tcPr/>
          <w:p>
            <w:pPr>
              <w:pStyle w:val="Compact"/>
            </w:pPr>
            <w:r>
              <w:t xml:space="preserve">Adjusted EBITDA margin</w:t>
            </w:r>
          </w:p>
        </w:tc>
        <w:tc>
          <w:tcPr/>
          <w:p>
            <w:pPr>
              <w:pStyle w:val="Compact"/>
              <w:jc w:val="right"/>
            </w:pPr>
            <w:r>
              <w:t xml:space="preserve">29.8%</w:t>
            </w:r>
          </w:p>
        </w:tc>
        <w:tc>
          <w:tcPr/>
          <w:p>
            <w:pPr>
              <w:pStyle w:val="Compact"/>
              <w:jc w:val="right"/>
            </w:pPr>
            <w:r>
              <w:t xml:space="preserve">+70 bps</w:t>
            </w:r>
          </w:p>
        </w:tc>
      </w:tr>
      <w:tr>
        <w:tc>
          <w:tcPr/>
          <w:p>
            <w:pPr>
              <w:pStyle w:val="Compact"/>
            </w:pPr>
            <w:r>
              <w:t xml:space="preserve">Adjusted EPS</w:t>
            </w:r>
          </w:p>
        </w:tc>
        <w:tc>
          <w:tcPr/>
          <w:p>
            <w:pPr>
              <w:pStyle w:val="Compact"/>
              <w:jc w:val="right"/>
            </w:pPr>
            <w:r>
              <w:t xml:space="preserve">$1.81</w:t>
            </w:r>
          </w:p>
        </w:tc>
        <w:tc>
          <w:tcPr/>
          <w:p>
            <w:pPr>
              <w:pStyle w:val="Compact"/>
              <w:jc w:val="right"/>
            </w:pPr>
            <w:r>
              <w:t xml:space="preserve">+8.4%</w:t>
            </w:r>
          </w:p>
        </w:tc>
      </w:tr>
      <w:tr>
        <w:tc>
          <w:tcPr/>
          <w:p>
            <w:pPr>
              <w:pStyle w:val="Compact"/>
            </w:pPr>
            <w:r>
              <w:t xml:space="preserve">Free cash flow</w:t>
            </w:r>
          </w:p>
        </w:tc>
        <w:tc>
          <w:tcPr/>
          <w:p>
            <w:pPr>
              <w:pStyle w:val="Compact"/>
              <w:jc w:val="right"/>
            </w:pPr>
            <w:r>
              <w:t xml:space="preserve">$920M</w:t>
            </w:r>
          </w:p>
        </w:tc>
        <w:tc>
          <w:tcPr/>
          <w:p>
            <w:pPr>
              <w:pStyle w:val="Compact"/>
              <w:jc w:val="right"/>
            </w:pPr>
            <w:r>
              <w:t xml:space="preserve">+94%</w:t>
            </w:r>
          </w:p>
        </w:tc>
      </w:tr>
      <w:tr>
        <w:tc>
          <w:tcPr/>
          <w:p>
            <w:pPr>
              <w:pStyle w:val="Compact"/>
            </w:pPr>
            <w:r>
              <w:t xml:space="preserve">Collection and disposal yield</w:t>
            </w:r>
          </w:p>
        </w:tc>
        <w:tc>
          <w:tcPr/>
          <w:p>
            <w:pPr>
              <w:pStyle w:val="Compact"/>
              <w:jc w:val="right"/>
            </w:pPr>
            <w:r>
              <w:t xml:space="preserve">3.9%</w:t>
            </w:r>
          </w:p>
        </w:tc>
        <w:tc>
          <w:tcPr/>
          <w:p>
            <w:pPr>
              <w:pStyle w:val="Compact"/>
              <w:jc w:val="right"/>
            </w:pPr>
            <w:r>
              <w:t xml:space="preserve">—</w:t>
            </w:r>
          </w:p>
        </w:tc>
      </w:tr>
      <w:tr>
        <w:tc>
          <w:tcPr/>
          <w:p>
            <w:pPr>
              <w:pStyle w:val="Compact"/>
            </w:pPr>
            <w:r>
              <w:t xml:space="preserve">Collection and disposal volume</w:t>
            </w:r>
          </w:p>
        </w:tc>
        <w:tc>
          <w:tcPr/>
          <w:p>
            <w:pPr>
              <w:pStyle w:val="Compact"/>
              <w:jc w:val="right"/>
            </w:pPr>
            <w:r>
              <w:t xml:space="preserve">-1.5%</w:t>
            </w:r>
          </w:p>
        </w:tc>
        <w:tc>
          <w:tcPr/>
          <w:p>
            <w:pPr>
              <w:pStyle w:val="Compact"/>
              <w:jc w:val="right"/>
            </w:pPr>
            <w:r>
              <w:t xml:space="preserve">—</w:t>
            </w:r>
          </w:p>
        </w:tc>
      </w:tr>
    </w:tbl>
    <w:p>
      <w:pPr>
        <w:pStyle w:val="BodyText"/>
      </w:pPr>
      <w:r>
        <w:t xml:space="preserve">The most encouraging Q1 result was margin expansion despite weak volumes. Collection and disposal adjusted EBITDA grew 6.4%, and its margin expanded 110 basis points. Operating expenses fell to 59.2% of revenue on an adjusted basis, demonstrating that technology, fleet optimization, retention, and business-mix improvements are becoming structural rather than simply volume-dependent.</w:t>
      </w:r>
    </w:p>
    <w:bookmarkEnd w:id="10"/>
    <w:bookmarkStart w:id="11" w:name="full-year-2026-guidance"/>
    <w:p>
      <w:pPr>
        <w:pStyle w:val="Heading3"/>
      </w:pPr>
      <w:r>
        <w:t xml:space="preserve">Full-year 2026 guidance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Metric</w:t>
            </w:r>
          </w:p>
        </w:tc>
        <w:tc>
          <w:tcPr/>
          <w:p>
            <w:pPr>
              <w:pStyle w:val="Compact"/>
              <w:jc w:val="right"/>
            </w:pPr>
            <w:r>
              <w:t xml:space="preserve">2026 guidance</w:t>
            </w:r>
          </w:p>
        </w:tc>
      </w:tr>
      <w:tr>
        <w:tc>
          <w:tcPr/>
          <w:p>
            <w:pPr>
              <w:pStyle w:val="Compact"/>
            </w:pPr>
            <w:r>
              <w:t xml:space="preserve">Revenue</w:t>
            </w:r>
          </w:p>
        </w:tc>
        <w:tc>
          <w:tcPr/>
          <w:p>
            <w:pPr>
              <w:pStyle w:val="Compact"/>
              <w:jc w:val="right"/>
            </w:pPr>
            <m:oMath>
              <m:r>
                <m:t>26.43</m:t>
              </m:r>
              <m:r>
                <m:t>B</m:t>
              </m:r>
              <m:r>
                <m:rPr>
                  <m:sty m:val="p"/>
                </m:rPr>
                <m:t>–</m:t>
              </m:r>
            </m:oMath>
            <w:r>
              <w:t xml:space="preserve">26.63B</w:t>
            </w:r>
          </w:p>
        </w:tc>
      </w:tr>
      <w:tr>
        <w:tc>
          <w:tcPr/>
          <w:p>
            <w:pPr>
              <w:pStyle w:val="Compact"/>
            </w:pPr>
            <w:r>
              <w:t xml:space="preserve">Adjusted operating EBITDA</w:t>
            </w:r>
          </w:p>
        </w:tc>
        <w:tc>
          <w:tcPr/>
          <w:p>
            <w:pPr>
              <w:pStyle w:val="Compact"/>
              <w:jc w:val="right"/>
            </w:pPr>
            <m:oMath>
              <m:r>
                <m:t>8.15</m:t>
              </m:r>
              <m:r>
                <m:t>B</m:t>
              </m:r>
              <m:r>
                <m:rPr>
                  <m:sty m:val="p"/>
                </m:rPr>
                <m:t>–</m:t>
              </m:r>
            </m:oMath>
            <w:r>
              <w:t xml:space="preserve">8.25B</w:t>
            </w:r>
          </w:p>
        </w:tc>
      </w:tr>
      <w:tr>
        <w:tc>
          <w:tcPr/>
          <w:p>
            <w:pPr>
              <w:pStyle w:val="Compact"/>
            </w:pPr>
            <w:r>
              <w:t xml:space="preserve">Adjusted EBITDA margin</w:t>
            </w:r>
          </w:p>
        </w:tc>
        <w:tc>
          <w:tcPr/>
          <w:p>
            <w:pPr>
              <w:pStyle w:val="Compact"/>
              <w:jc w:val="right"/>
            </w:pPr>
            <w:r>
              <w:t xml:space="preserve">30.8%–31.0%</w:t>
            </w:r>
          </w:p>
        </w:tc>
      </w:tr>
      <w:tr>
        <w:tc>
          <w:tcPr/>
          <w:p>
            <w:pPr>
              <w:pStyle w:val="Compact"/>
            </w:pPr>
            <w:r>
              <w:t xml:space="preserve">Free cash flow</w:t>
            </w:r>
          </w:p>
        </w:tc>
        <w:tc>
          <w:tcPr/>
          <w:p>
            <w:pPr>
              <w:pStyle w:val="Compact"/>
              <w:jc w:val="right"/>
            </w:pPr>
            <m:oMath>
              <m:r>
                <m:t>3.75</m:t>
              </m:r>
              <m:r>
                <m:t>B</m:t>
              </m:r>
              <m:r>
                <m:rPr>
                  <m:sty m:val="p"/>
                </m:rPr>
                <m:t>–</m:t>
              </m:r>
            </m:oMath>
            <w:r>
              <w:t xml:space="preserve">3.85B</w:t>
            </w:r>
          </w:p>
        </w:tc>
      </w:tr>
      <w:tr>
        <w:tc>
          <w:tcPr/>
          <w:p>
            <w:pPr>
              <w:pStyle w:val="Compact"/>
            </w:pPr>
            <w:r>
              <w:t xml:space="preserve">Collection and disposal core price</w:t>
            </w:r>
          </w:p>
        </w:tc>
        <w:tc>
          <w:tcPr/>
          <w:p>
            <w:pPr>
              <w:pStyle w:val="Compact"/>
              <w:jc w:val="right"/>
            </w:pPr>
            <w:r>
              <w:t xml:space="preserve">5.4%–5.8%</w:t>
            </w:r>
          </w:p>
        </w:tc>
      </w:tr>
      <w:tr>
        <w:tc>
          <w:tcPr/>
          <w:p>
            <w:pPr>
              <w:pStyle w:val="Compact"/>
            </w:pPr>
            <w:r>
              <w:t xml:space="preserve">Collection and disposal yield</w:t>
            </w:r>
          </w:p>
        </w:tc>
        <w:tc>
          <w:tcPr/>
          <w:p>
            <w:pPr>
              <w:pStyle w:val="Compact"/>
              <w:jc w:val="right"/>
            </w:pPr>
            <w:r>
              <w:t xml:space="preserve">3.2%–3.6%</w:t>
            </w:r>
          </w:p>
        </w:tc>
      </w:tr>
      <w:tr>
        <w:tc>
          <w:tcPr/>
          <w:p>
            <w:pPr>
              <w:pStyle w:val="Compact"/>
            </w:pPr>
            <w:r>
              <w:t xml:space="preserve">Collection and disposal volume</w:t>
            </w:r>
          </w:p>
        </w:tc>
        <w:tc>
          <w:tcPr/>
          <w:p>
            <w:pPr>
              <w:pStyle w:val="Compact"/>
              <w:jc w:val="right"/>
            </w:pPr>
            <w:r>
              <w:t xml:space="preserve">+0.2%–+0.6%</w:t>
            </w:r>
          </w:p>
        </w:tc>
      </w:tr>
      <w:tr>
        <w:tc>
          <w:tcPr/>
          <w:p>
            <w:pPr>
              <w:pStyle w:val="Compact"/>
            </w:pPr>
            <w:r>
              <w:t xml:space="preserve">Sustainability EBITDA growth</w:t>
            </w:r>
          </w:p>
        </w:tc>
        <w:tc>
          <w:tcPr/>
          <w:p>
            <w:pPr>
              <w:pStyle w:val="Compact"/>
              <w:jc w:val="right"/>
            </w:pPr>
            <m:oMath>
              <m:r>
                <m:t>235</m:t>
              </m:r>
              <m:r>
                <m:t>M</m:t>
              </m:r>
              <m:r>
                <m:rPr>
                  <m:sty m:val="p"/>
                </m:rPr>
                <m:t>–</m:t>
              </m:r>
            </m:oMath>
            <w:r>
              <w:t xml:space="preserve">255M</w:t>
            </w:r>
          </w:p>
        </w:tc>
      </w:tr>
      <w:tr>
        <w:tc>
          <w:tcPr/>
          <w:p>
            <w:pPr>
              <w:pStyle w:val="Compact"/>
            </w:pPr>
            <w:r>
              <w:t xml:space="preserve">Share repurchases</w:t>
            </w:r>
          </w:p>
        </w:tc>
        <w:tc>
          <w:tcPr/>
          <w:p>
            <w:pPr>
              <w:pStyle w:val="Compact"/>
              <w:jc w:val="right"/>
            </w:pPr>
            <w:r>
              <w:t xml:space="preserve">Approximately $2.0B</w:t>
            </w:r>
          </w:p>
        </w:tc>
      </w:tr>
    </w:tbl>
    <w:p>
      <w:pPr>
        <w:pStyle w:val="BodyText"/>
      </w:pPr>
      <w:r>
        <w:t xml:space="preserve">WM reaffirmed this outlook after Q1. The company also reduced its expected 2026 effective tax rate to approximately 23% after qualifying for renewable-natural-gas production tax credits.</w:t>
      </w:r>
    </w:p>
    <w:bookmarkEnd w:id="11"/>
    <w:bookmarkEnd w:id="12"/>
    <w:bookmarkStart w:id="18" w:name="X9936aa60486d592fb3ae14c335000af602f6b57"/>
    <w:p>
      <w:pPr>
        <w:pStyle w:val="Heading2"/>
      </w:pPr>
      <w:r>
        <w:t xml:space="preserve">Five issues that should drive the stock reaction</w:t>
      </w:r>
    </w:p>
    <w:bookmarkStart w:id="13" w:name="X9405eda5d785cf30d74a0ea43993982f6962960"/>
    <w:p>
      <w:pPr>
        <w:pStyle w:val="Heading3"/>
      </w:pPr>
      <w:r>
        <w:t xml:space="preserve">1. The wildfire comparison will obscure underlying volume</w:t>
      </w:r>
    </w:p>
    <w:p>
      <w:pPr>
        <w:pStyle w:val="FirstParagraph"/>
      </w:pPr>
      <w:r>
        <w:t xml:space="preserve">Q2 2025 benefited from approximately</w:t>
      </w:r>
      <w:r>
        <w:t xml:space="preserve"> </w:t>
      </w:r>
      <w:r>
        <w:rPr>
          <w:b/>
          <w:bCs/>
        </w:rPr>
        <w:t xml:space="preserve">$85 million of wildfire-cleanup revenue</w:t>
      </w:r>
      <w:r>
        <w:t xml:space="preserve">, with management indicating that the associated EBITDA conversion was strong. Last year’s collection and disposal volume increased 1.6%, including particularly strong landfill activity.</w:t>
      </w:r>
    </w:p>
    <w:p>
      <w:pPr>
        <w:pStyle w:val="BodyText"/>
      </w:pPr>
      <w:r>
        <w:t xml:space="preserve">That benefit will not repeat, making Q2 WM’s hardest comparison of the year. Headline volume could therefore be negative even if the underlying business is stable or improving.</w:t>
      </w:r>
    </w:p>
    <w:p>
      <w:pPr>
        <w:pStyle w:val="BodyText"/>
      </w:pPr>
      <w:r>
        <w:t xml:space="preserve">Investors should focus on:</w:t>
      </w:r>
    </w:p>
    <w:p>
      <w:pPr>
        <w:pStyle w:val="Compact"/>
        <w:numPr>
          <w:ilvl w:val="0"/>
          <w:numId w:val="1002"/>
        </w:numPr>
      </w:pPr>
      <w:r>
        <w:t xml:space="preserve">Volume excluding prior-year wildfire activity</w:t>
      </w:r>
    </w:p>
    <w:p>
      <w:pPr>
        <w:pStyle w:val="Compact"/>
        <w:numPr>
          <w:ilvl w:val="0"/>
          <w:numId w:val="1002"/>
        </w:numPr>
      </w:pPr>
      <w:r>
        <w:t xml:space="preserve">Special-waste pipeline and realized volumes</w:t>
      </w:r>
    </w:p>
    <w:p>
      <w:pPr>
        <w:pStyle w:val="Compact"/>
        <w:numPr>
          <w:ilvl w:val="0"/>
          <w:numId w:val="1002"/>
        </w:numPr>
      </w:pPr>
      <w:r>
        <w:t xml:space="preserve">Municipal solid waste, which grew 2.7% in Q1</w:t>
      </w:r>
    </w:p>
    <w:p>
      <w:pPr>
        <w:pStyle w:val="Compact"/>
        <w:numPr>
          <w:ilvl w:val="0"/>
          <w:numId w:val="1002"/>
        </w:numPr>
      </w:pPr>
      <w:r>
        <w:t xml:space="preserve">Industrial collection, which returned to modest growth after six or seven negative quarters</w:t>
      </w:r>
    </w:p>
    <w:p>
      <w:pPr>
        <w:pStyle w:val="Compact"/>
        <w:numPr>
          <w:ilvl w:val="0"/>
          <w:numId w:val="1002"/>
        </w:numPr>
      </w:pPr>
      <w:r>
        <w:t xml:space="preserve">Residential volume losses from intentional contract shedding</w:t>
      </w:r>
    </w:p>
    <w:p>
      <w:pPr>
        <w:pStyle w:val="Compact"/>
        <w:numPr>
          <w:ilvl w:val="0"/>
          <w:numId w:val="1002"/>
        </w:numPr>
      </w:pPr>
      <w:r>
        <w:t xml:space="preserve">Management’s confidence in achieving positive full-year volume</w:t>
      </w:r>
    </w:p>
    <w:p>
      <w:pPr>
        <w:pStyle w:val="FirstParagraph"/>
      </w:pPr>
      <w:r>
        <w:t xml:space="preserve">In Q1, special-waste volume increased 6.7% excluding wildfire activity, while management said recent municipal-solid-waste growth was running above the reported quarterly rate. Continuation of that underlying strength would matter more than the headline Q2 volume number.</w:t>
      </w:r>
    </w:p>
    <w:p>
      <w:pPr>
        <w:pStyle w:val="BodyText"/>
      </w:pPr>
      <w:r>
        <w:rPr>
          <w:b/>
          <w:bCs/>
        </w:rPr>
        <w:t xml:space="preserve">Positive read:</w:t>
      </w:r>
      <w:r>
        <w:t xml:space="preserve"> </w:t>
      </w:r>
      <w:r>
        <w:t xml:space="preserve">Underlying MSW, industrial, and special-waste trends remain positive, with management reaffirming full-year volume guidance.</w:t>
      </w:r>
    </w:p>
    <w:p>
      <w:pPr>
        <w:pStyle w:val="BodyText"/>
      </w:pPr>
      <w:r>
        <w:rPr>
          <w:b/>
          <w:bCs/>
        </w:rPr>
        <w:t xml:space="preserve">Negative read:</w:t>
      </w:r>
      <w:r>
        <w:t xml:space="preserve"> </w:t>
      </w:r>
      <w:r>
        <w:t xml:space="preserve">Weakness broadens beyond wildfire comparisons and intentionally shed residential business, forcing the company to lower its full-year volume assumptions.</w:t>
      </w:r>
    </w:p>
    <w:p>
      <w:r>
        <w:pict>
          <v:rect style="width:0;height:1.5pt" o:hralign="center" o:hrstd="t" o:hr="t"/>
        </w:pict>
      </w:r>
    </w:p>
    <w:bookmarkEnd w:id="13"/>
    <w:bookmarkStart w:id="14" w:name="X444ed4cadc5264b90ff6ca54f58c52c56e60501"/>
    <w:p>
      <w:pPr>
        <w:pStyle w:val="Heading3"/>
      </w:pPr>
      <w:r>
        <w:t xml:space="preserve">2. Pricing and margin execution remain the core earnings engine</w:t>
      </w:r>
    </w:p>
    <w:p>
      <w:pPr>
        <w:pStyle w:val="FirstParagraph"/>
      </w:pPr>
      <w:r>
        <w:t xml:space="preserve">Q1 collection and disposal core price was 6.3%, while yield was 3.9%, both above management’s initial expectations. Commercial and landfill core price exceeded 7.5%, residential yield reached 6.3%, and MSW yield was particularly strong at 6.9%.</w:t>
      </w:r>
    </w:p>
    <w:p>
      <w:pPr>
        <w:pStyle w:val="BodyText"/>
      </w:pPr>
      <w:r>
        <w:t xml:space="preserve">Management estimated its price-cost spread at more than 200 basis points despite labor inflation around 4%. This spread, combined with technology-driven cost reductions, allowed collection and disposal margin to expand even in a weak volume quarter.</w:t>
      </w:r>
    </w:p>
    <w:p>
      <w:pPr>
        <w:pStyle w:val="BodyText"/>
      </w:pPr>
      <w:r>
        <w:t xml:space="preserve">Q2 will test whether that performance is durable.</w:t>
      </w:r>
    </w:p>
    <w:p>
      <w:pPr>
        <w:pStyle w:val="BodyText"/>
      </w:pPr>
      <w:r>
        <w:t xml:space="preserve">The comparison needs care because WM changed its presentation of landfill accretion expense in 2026 and recast prior-year figures. On a comparable basis, Q2 2025 adjusted EBITDA would be approximately</w:t>
      </w:r>
      <w:r>
        <w:t xml:space="preserve"> </w:t>
      </w:r>
      <w:r>
        <w:rPr>
          <w:b/>
          <w:bCs/>
        </w:rPr>
        <w:t xml:space="preserve">$1.96 billion</w:t>
      </w:r>
      <w:r>
        <w:t xml:space="preserve">, including the recategorized accretion expense, with a margin of roughly</w:t>
      </w:r>
      <w:r>
        <w:t xml:space="preserve"> </w:t>
      </w:r>
      <w:r>
        <w:rPr>
          <w:b/>
          <w:bCs/>
        </w:rPr>
        <w:t xml:space="preserve">30.5%</w:t>
      </w:r>
      <w:r>
        <w:t xml:space="preserve">.</w:t>
      </w:r>
    </w:p>
    <w:p>
      <w:pPr>
        <w:pStyle w:val="BodyText"/>
      </w:pPr>
      <w:r>
        <w:t xml:space="preserve">Management has said:</w:t>
      </w:r>
    </w:p>
    <w:p>
      <w:pPr>
        <w:pStyle w:val="Compact"/>
        <w:numPr>
          <w:ilvl w:val="0"/>
          <w:numId w:val="1003"/>
        </w:numPr>
      </w:pPr>
      <w:r>
        <w:t xml:space="preserve">Q2 has an unusually difficult wildfire comparison.</w:t>
      </w:r>
    </w:p>
    <w:p>
      <w:pPr>
        <w:pStyle w:val="Compact"/>
        <w:numPr>
          <w:ilvl w:val="0"/>
          <w:numId w:val="1003"/>
        </w:numPr>
      </w:pPr>
      <w:r>
        <w:t xml:space="preserve">Margin should improve meaningfully from Q1 on normal seasonality.</w:t>
      </w:r>
    </w:p>
    <w:p>
      <w:pPr>
        <w:pStyle w:val="Compact"/>
        <w:numPr>
          <w:ilvl w:val="0"/>
          <w:numId w:val="1003"/>
        </w:numPr>
      </w:pPr>
      <w:r>
        <w:t xml:space="preserve">Reported year-over-year improvement will be muted by the missing wildfire contribution.</w:t>
      </w:r>
    </w:p>
    <w:p>
      <w:pPr>
        <w:pStyle w:val="Compact"/>
        <w:numPr>
          <w:ilvl w:val="0"/>
          <w:numId w:val="1003"/>
        </w:numPr>
      </w:pPr>
      <w:r>
        <w:t xml:space="preserve">The second-half margin trajectory should resemble 2025.</w:t>
      </w:r>
    </w:p>
    <w:p>
      <w:pPr>
        <w:pStyle w:val="FirstParagraph"/>
      </w:pPr>
      <w:r>
        <w:t xml:space="preserve">A result near or above the recast prior-year margin, despite the wildfire headwind, would demonstrate considerable underlying operating leverage.</w:t>
      </w:r>
    </w:p>
    <w:p>
      <w:pPr>
        <w:pStyle w:val="BodyText"/>
      </w:pPr>
      <w:r>
        <w:rPr>
          <w:b/>
          <w:bCs/>
        </w:rPr>
        <w:t xml:space="preserve">Positive read:</w:t>
      </w:r>
      <w:r>
        <w:t xml:space="preserve"> </w:t>
      </w:r>
      <w:r>
        <w:t xml:space="preserve">Yield remains around or above the full-year range, collection and disposal margins expand on an underlying basis, and management keeps the 30.8%–31.0% full-year target intact.</w:t>
      </w:r>
    </w:p>
    <w:p>
      <w:pPr>
        <w:pStyle w:val="BodyText"/>
      </w:pPr>
      <w:r>
        <w:rPr>
          <w:b/>
          <w:bCs/>
        </w:rPr>
        <w:t xml:space="preserve">Negative read:</w:t>
      </w:r>
      <w:r>
        <w:t xml:space="preserve"> </w:t>
      </w:r>
      <w:r>
        <w:t xml:space="preserve">Pricing remains healthy but fails to translate into margin because of labor, fuel, corporate technology spending, or weaker landfill volume.</w:t>
      </w:r>
    </w:p>
    <w:p>
      <w:r>
        <w:pict>
          <v:rect style="width:0;height:1.5pt" o:hralign="center" o:hrstd="t" o:hr="t"/>
        </w:pict>
      </w:r>
    </w:p>
    <w:bookmarkEnd w:id="14"/>
    <w:bookmarkStart w:id="15" w:name="X1a622de091cab18acfe2aa8f65ec26cc7ddd032"/>
    <w:p>
      <w:pPr>
        <w:pStyle w:val="Heading3"/>
      </w:pPr>
      <w:r>
        <w:t xml:space="preserve">3. Healthcare Solutions needs to show that the revenue inflection is approaching</w:t>
      </w:r>
    </w:p>
    <w:p>
      <w:pPr>
        <w:pStyle w:val="FirstParagraph"/>
      </w:pPr>
      <w:r>
        <w:t xml:space="preserve">Healthcare Solutions is becoming the most important source of execution risk—and potential upside—outside the core waste franchise.</w:t>
      </w:r>
    </w:p>
    <w:p>
      <w:pPr>
        <w:pStyle w:val="BodyText"/>
      </w:pPr>
      <w:r>
        <w:t xml:space="preserve">Q1 results were mixed:</w:t>
      </w:r>
    </w:p>
    <w:p>
      <w:pPr>
        <w:pStyle w:val="Compact"/>
        <w:numPr>
          <w:ilvl w:val="0"/>
          <w:numId w:val="1004"/>
        </w:numPr>
      </w:pPr>
      <w:r>
        <w:t xml:space="preserve">Revenue declined slightly to</w:t>
      </w:r>
      <w:r>
        <w:t xml:space="preserve"> </w:t>
      </w:r>
      <w:r>
        <w:rPr>
          <w:b/>
          <w:bCs/>
        </w:rPr>
        <w:t xml:space="preserve">$614 million</w:t>
      </w:r>
      <w:r>
        <w:t xml:space="preserve">.</w:t>
      </w:r>
    </w:p>
    <w:p>
      <w:pPr>
        <w:pStyle w:val="Compact"/>
        <w:numPr>
          <w:ilvl w:val="0"/>
          <w:numId w:val="1004"/>
        </w:numPr>
      </w:pPr>
      <w:r>
        <w:t xml:space="preserve">Adjusted EBITDA increased 11.6% to</w:t>
      </w:r>
      <w:r>
        <w:t xml:space="preserve"> </w:t>
      </w:r>
      <w:r>
        <w:rPr>
          <w:b/>
          <w:bCs/>
        </w:rPr>
        <w:t xml:space="preserve">$106 million</w:t>
      </w:r>
      <w:r>
        <w:t xml:space="preserve">.</w:t>
      </w:r>
    </w:p>
    <w:p>
      <w:pPr>
        <w:pStyle w:val="Compact"/>
        <w:numPr>
          <w:ilvl w:val="0"/>
          <w:numId w:val="1004"/>
        </w:numPr>
      </w:pPr>
      <w:r>
        <w:t xml:space="preserve">Adjusted EBITDA margin expanded 200 basis points to</w:t>
      </w:r>
      <w:r>
        <w:t xml:space="preserve"> </w:t>
      </w:r>
      <w:r>
        <w:rPr>
          <w:b/>
          <w:bCs/>
        </w:rPr>
        <w:t xml:space="preserve">17.3%</w:t>
      </w:r>
      <w:r>
        <w:t xml:space="preserve">.</w:t>
      </w:r>
    </w:p>
    <w:p>
      <w:pPr>
        <w:pStyle w:val="Compact"/>
        <w:numPr>
          <w:ilvl w:val="0"/>
          <w:numId w:val="1004"/>
        </w:numPr>
      </w:pPr>
      <w:r>
        <w:t xml:space="preserve">SG&amp;A declined roughly 20%.</w:t>
      </w:r>
    </w:p>
    <w:p>
      <w:pPr>
        <w:pStyle w:val="Compact"/>
        <w:numPr>
          <w:ilvl w:val="0"/>
          <w:numId w:val="1004"/>
        </w:numPr>
      </w:pPr>
      <w:r>
        <w:t xml:space="preserve">Days sales outstanding improved by 14 days.</w:t>
      </w:r>
    </w:p>
    <w:p>
      <w:pPr>
        <w:pStyle w:val="Compact"/>
        <w:numPr>
          <w:ilvl w:val="0"/>
          <w:numId w:val="1004"/>
        </w:numPr>
      </w:pPr>
      <w:r>
        <w:t xml:space="preserve">Past-due receivables fell by approximately two-thirds.</w:t>
      </w:r>
    </w:p>
    <w:p>
      <w:pPr>
        <w:pStyle w:val="FirstParagraph"/>
      </w:pPr>
      <w:r>
        <w:t xml:space="preserve">Management expects Healthcare Solutions revenue growth to inflect positively during the second half as:</w:t>
      </w:r>
    </w:p>
    <w:p>
      <w:pPr>
        <w:pStyle w:val="Compact"/>
        <w:numPr>
          <w:ilvl w:val="0"/>
          <w:numId w:val="1005"/>
        </w:numPr>
      </w:pPr>
      <w:r>
        <w:t xml:space="preserve">Prior customer losses are lapped</w:t>
      </w:r>
    </w:p>
    <w:p>
      <w:pPr>
        <w:pStyle w:val="Compact"/>
        <w:numPr>
          <w:ilvl w:val="0"/>
          <w:numId w:val="1005"/>
        </w:numPr>
      </w:pPr>
      <w:r>
        <w:t xml:space="preserve">Billing credits normalize</w:t>
      </w:r>
    </w:p>
    <w:p>
      <w:pPr>
        <w:pStyle w:val="Compact"/>
        <w:numPr>
          <w:ilvl w:val="0"/>
          <w:numId w:val="1005"/>
        </w:numPr>
      </w:pPr>
      <w:r>
        <w:t xml:space="preserve">ERP stabilization improves retention and service</w:t>
      </w:r>
    </w:p>
    <w:p>
      <w:pPr>
        <w:pStyle w:val="Compact"/>
        <w:numPr>
          <w:ilvl w:val="0"/>
          <w:numId w:val="1005"/>
        </w:numPr>
      </w:pPr>
      <w:r>
        <w:t xml:space="preserve">Pricing takes hold</w:t>
      </w:r>
    </w:p>
    <w:p>
      <w:pPr>
        <w:pStyle w:val="Compact"/>
        <w:numPr>
          <w:ilvl w:val="0"/>
          <w:numId w:val="1005"/>
        </w:numPr>
      </w:pPr>
      <w:r>
        <w:t xml:space="preserve">Cross-selling contributes incremental volume</w:t>
      </w:r>
    </w:p>
    <w:p>
      <w:pPr>
        <w:pStyle w:val="FirstParagraph"/>
      </w:pPr>
      <w:r>
        <w:t xml:space="preserve">Q2 is still likely to contain revenue headwinds, so investors should not necessarily demand strong top-line growth yet. The more important indicators are customer retention, credit-memo normalization, price realization, cross-selling wins, and confidence in second-half acceleration.</w:t>
      </w:r>
    </w:p>
    <w:p>
      <w:pPr>
        <w:pStyle w:val="BodyText"/>
      </w:pPr>
      <w:r>
        <w:t xml:space="preserve">WM remains on track for</w:t>
      </w:r>
      <w:r>
        <w:t xml:space="preserve"> </w:t>
      </w:r>
      <w:r>
        <w:rPr>
          <w:b/>
          <w:bCs/>
        </w:rPr>
        <w:t xml:space="preserve">$300 million of run-rate synergies by the end of 2027</w:t>
      </w:r>
      <w:r>
        <w:t xml:space="preserve">, and management has suggested the eventual total could reach approximately $325 million. Q1 included about $27 million of annualized EBITDA benefits from cross-selling.</w:t>
      </w:r>
    </w:p>
    <w:p>
      <w:pPr>
        <w:pStyle w:val="BodyText"/>
      </w:pPr>
      <w:r>
        <w:t xml:space="preserve">There is also a leadership transition to monitor. Healthcare Solutions President Rafael Carrasco retired in July, and the business now reports directly to WM President John Morris. Tara Hemmer, previously chief sustainability officer, became chief operating officer in May.</w:t>
      </w:r>
    </w:p>
    <w:p>
      <w:pPr>
        <w:pStyle w:val="BodyText"/>
      </w:pPr>
      <w:r>
        <w:rPr>
          <w:b/>
          <w:bCs/>
        </w:rPr>
        <w:t xml:space="preserve">Positive read:</w:t>
      </w:r>
      <w:r>
        <w:t xml:space="preserve"> </w:t>
      </w:r>
      <w:r>
        <w:t xml:space="preserve">Margin holds at or above 17%, revenue trends improve sequentially, and management strengthens its language around second-half growth and $300 million-plus synergies.</w:t>
      </w:r>
    </w:p>
    <w:p>
      <w:pPr>
        <w:pStyle w:val="BodyText"/>
      </w:pPr>
      <w:r>
        <w:rPr>
          <w:b/>
          <w:bCs/>
        </w:rPr>
        <w:t xml:space="preserve">Negative read:</w:t>
      </w:r>
      <w:r>
        <w:t xml:space="preserve"> </w:t>
      </w:r>
      <w:r>
        <w:t xml:space="preserve">Customer credits or ERP issues persist, revenue guidance becomes more cautious, or cost reductions are masking continued commercial weakness.</w:t>
      </w:r>
    </w:p>
    <w:p>
      <w:r>
        <w:pict>
          <v:rect style="width:0;height:1.5pt" o:hralign="center" o:hrstd="t" o:hr="t"/>
        </w:pict>
      </w:r>
    </w:p>
    <w:bookmarkEnd w:id="15"/>
    <w:bookmarkStart w:id="16" w:name="Xc4a82954fe2ed72a25b0c62804e9eac8f25e82c"/>
    <w:p>
      <w:pPr>
        <w:pStyle w:val="Heading3"/>
      </w:pPr>
      <w:r>
        <w:t xml:space="preserve">4. Sustainability growth should begin contributing more visibly</w:t>
      </w:r>
    </w:p>
    <w:p>
      <w:pPr>
        <w:pStyle w:val="FirstParagraph"/>
      </w:pPr>
      <w:r>
        <w:t xml:space="preserve">WM’s sustainability investments are moving from a capital-spending phase into an earnings-harvest phase.</w:t>
      </w:r>
    </w:p>
    <w:p>
      <w:pPr>
        <w:pStyle w:val="BodyText"/>
      </w:pPr>
      <w:r>
        <w:t xml:space="preserve">In Q1:</w:t>
      </w:r>
    </w:p>
    <w:p>
      <w:pPr>
        <w:pStyle w:val="Compact"/>
        <w:numPr>
          <w:ilvl w:val="0"/>
          <w:numId w:val="1006"/>
        </w:numPr>
      </w:pPr>
      <w:r>
        <w:t xml:space="preserve">Renewable Energy adjusted EBITDA more than doubled.</w:t>
      </w:r>
    </w:p>
    <w:p>
      <w:pPr>
        <w:pStyle w:val="Compact"/>
        <w:numPr>
          <w:ilvl w:val="0"/>
          <w:numId w:val="1006"/>
        </w:numPr>
      </w:pPr>
      <w:r>
        <w:t xml:space="preserve">Recycling adjusted EBITDA grew 18% despite a 27% decline in single-stream commodity pricing.</w:t>
      </w:r>
    </w:p>
    <w:p>
      <w:pPr>
        <w:pStyle w:val="Compact"/>
        <w:numPr>
          <w:ilvl w:val="0"/>
          <w:numId w:val="1006"/>
        </w:numPr>
      </w:pPr>
      <w:r>
        <w:t xml:space="preserve">Recycling volume increased 9%.</w:t>
      </w:r>
    </w:p>
    <w:p>
      <w:pPr>
        <w:pStyle w:val="Compact"/>
        <w:numPr>
          <w:ilvl w:val="0"/>
          <w:numId w:val="1006"/>
        </w:numPr>
      </w:pPr>
      <w:r>
        <w:t xml:space="preserve">Seven new renewable-natural-gas facilities had entered service since Q1 2025.</w:t>
      </w:r>
    </w:p>
    <w:p>
      <w:pPr>
        <w:pStyle w:val="Compact"/>
        <w:numPr>
          <w:ilvl w:val="0"/>
          <w:numId w:val="1006"/>
        </w:numPr>
      </w:pPr>
      <w:r>
        <w:t xml:space="preserve">Automation materially reduced recycling labor costs and improved material quality.</w:t>
      </w:r>
    </w:p>
    <w:p>
      <w:pPr>
        <w:pStyle w:val="FirstParagraph"/>
      </w:pPr>
      <w:r>
        <w:t xml:space="preserve">Management expected three additional RNG plants to enter service during Q2 and the remaining 2026 projects to come online in the second half. The company plans to complete six RNG facilities and four recycling projects during 2026.</w:t>
      </w:r>
    </w:p>
    <w:p>
      <w:pPr>
        <w:pStyle w:val="BodyText"/>
      </w:pPr>
      <w:r>
        <w:t xml:space="preserve">The key risk is timing. Management indicated that project construction and commissioning were generally on track but noted potential utility-interconnection delays. Such delays might not damage long-term economics, but they could move EBITDA from 2026 into 2027.</w:t>
      </w:r>
    </w:p>
    <w:p>
      <w:pPr>
        <w:pStyle w:val="BodyText"/>
      </w:pPr>
      <w:r>
        <w:t xml:space="preserve">Commodity exposure appears manageable:</w:t>
      </w:r>
    </w:p>
    <w:p>
      <w:pPr>
        <w:pStyle w:val="Compact"/>
        <w:numPr>
          <w:ilvl w:val="0"/>
          <w:numId w:val="1007"/>
        </w:numPr>
      </w:pPr>
      <w:r>
        <w:t xml:space="preserve">The original 2026 recycling assumption was approximately $70 per ton.</w:t>
      </w:r>
    </w:p>
    <w:p>
      <w:pPr>
        <w:pStyle w:val="Compact"/>
        <w:numPr>
          <w:ilvl w:val="0"/>
          <w:numId w:val="1007"/>
        </w:numPr>
      </w:pPr>
      <w:r>
        <w:t xml:space="preserve">WM estimates that every $10-per-ton change affects EBITDA by approximately $27 million.</w:t>
      </w:r>
    </w:p>
    <w:p>
      <w:pPr>
        <w:pStyle w:val="Compact"/>
        <w:numPr>
          <w:ilvl w:val="0"/>
          <w:numId w:val="1007"/>
        </w:numPr>
      </w:pPr>
      <w:r>
        <w:t xml:space="preserve">By Q1, 80% of expected 2026 RNG volume was contracted, up from 60% when guidance was issued.</w:t>
      </w:r>
    </w:p>
    <w:p>
      <w:pPr>
        <w:pStyle w:val="Compact"/>
        <w:numPr>
          <w:ilvl w:val="0"/>
          <w:numId w:val="1007"/>
        </w:numPr>
      </w:pPr>
      <w:r>
        <w:t xml:space="preserve">Management continued to target</w:t>
      </w:r>
      <w:r>
        <w:t xml:space="preserve"> </w:t>
      </w:r>
      <m:oMath>
        <m:r>
          <m:t>235</m:t>
        </m:r>
        <m:r>
          <m:t>m</m:t>
        </m:r>
        <m:r>
          <m:t>i</m:t>
        </m:r>
        <m:r>
          <m:t>l</m:t>
        </m:r>
        <m:r>
          <m:t>l</m:t>
        </m:r>
        <m:r>
          <m:t>i</m:t>
        </m:r>
        <m:r>
          <m:t>o</m:t>
        </m:r>
        <m:r>
          <m:t>n</m:t>
        </m:r>
        <m:r>
          <m:rPr>
            <m:sty m:val="p"/>
          </m:rPr>
          <m:t>–</m:t>
        </m:r>
      </m:oMath>
      <w:r>
        <w:t xml:space="preserve">255 million of combined sustainability-related EBITDA growth.</w:t>
      </w:r>
    </w:p>
    <w:p>
      <w:pPr>
        <w:pStyle w:val="FirstParagraph"/>
      </w:pPr>
      <w:r>
        <w:rPr>
          <w:b/>
          <w:bCs/>
        </w:rPr>
        <w:t xml:space="preserve">Positive read:</w:t>
      </w:r>
      <w:r>
        <w:t xml:space="preserve"> </w:t>
      </w:r>
      <w:r>
        <w:t xml:space="preserve">New plants are commissioned largely on schedule, sustainability EBITDA guidance is reaffirmed or raised, and recycling margins remain resilient despite soft commodity prices.</w:t>
      </w:r>
    </w:p>
    <w:p>
      <w:pPr>
        <w:pStyle w:val="BodyText"/>
      </w:pPr>
      <w:r>
        <w:rPr>
          <w:b/>
          <w:bCs/>
        </w:rPr>
        <w:t xml:space="preserve">Negative read:</w:t>
      </w:r>
      <w:r>
        <w:t xml:space="preserve"> </w:t>
      </w:r>
      <w:r>
        <w:t xml:space="preserve">Interconnection delays increase, project contributions shift into 2027, or recycling commodity and freight conditions offset the benefit of automation.</w:t>
      </w:r>
    </w:p>
    <w:p>
      <w:r>
        <w:pict>
          <v:rect style="width:0;height:1.5pt" o:hralign="center" o:hrstd="t" o:hr="t"/>
        </w:pict>
      </w:r>
    </w:p>
    <w:bookmarkEnd w:id="16"/>
    <w:bookmarkStart w:id="17" w:name="Xfeeafe67037f1e3b7e6f28af6681eaba40a8549"/>
    <w:p>
      <w:pPr>
        <w:pStyle w:val="Heading3"/>
      </w:pPr>
      <w:r>
        <w:t xml:space="preserve">5. Free cash flow and capital allocation could be the cleanest source of upside</w:t>
      </w:r>
    </w:p>
    <w:p>
      <w:pPr>
        <w:pStyle w:val="FirstParagraph"/>
      </w:pPr>
      <w:r>
        <w:t xml:space="preserve">Q1 free cash flow nearly doubled to $920 million, aided by:</w:t>
      </w:r>
    </w:p>
    <w:p>
      <w:pPr>
        <w:pStyle w:val="Compact"/>
        <w:numPr>
          <w:ilvl w:val="0"/>
          <w:numId w:val="1008"/>
        </w:numPr>
      </w:pPr>
      <w:r>
        <w:t xml:space="preserve">EBITDA growth</w:t>
      </w:r>
    </w:p>
    <w:p>
      <w:pPr>
        <w:pStyle w:val="Compact"/>
        <w:numPr>
          <w:ilvl w:val="0"/>
          <w:numId w:val="1008"/>
        </w:numPr>
      </w:pPr>
      <w:r>
        <w:t xml:space="preserve">Better working capital</w:t>
      </w:r>
    </w:p>
    <w:p>
      <w:pPr>
        <w:pStyle w:val="Compact"/>
        <w:numPr>
          <w:ilvl w:val="0"/>
          <w:numId w:val="1008"/>
        </w:numPr>
      </w:pPr>
      <w:r>
        <w:t xml:space="preserve">Lower capital expenditures</w:t>
      </w:r>
    </w:p>
    <w:p>
      <w:pPr>
        <w:pStyle w:val="Compact"/>
        <w:numPr>
          <w:ilvl w:val="0"/>
          <w:numId w:val="1008"/>
        </w:numPr>
      </w:pPr>
      <w:r>
        <w:t xml:space="preserve">Fewer sustainability projects remaining under construction</w:t>
      </w:r>
    </w:p>
    <w:p>
      <w:pPr>
        <w:pStyle w:val="FirstParagraph"/>
      </w:pPr>
      <w:r>
        <w:t xml:space="preserve">WM’s 2026 free-cash-flow guidance of</w:t>
      </w:r>
      <w:r>
        <w:t xml:space="preserve"> </w:t>
      </w:r>
      <m:oMath>
        <m:r>
          <m:t>3.75</m:t>
        </m:r>
        <m:r>
          <m:t>b</m:t>
        </m:r>
        <m:r>
          <m:t>i</m:t>
        </m:r>
        <m:r>
          <m:t>l</m:t>
        </m:r>
        <m:r>
          <m:t>l</m:t>
        </m:r>
        <m:r>
          <m:t>i</m:t>
        </m:r>
        <m:r>
          <m:t>o</m:t>
        </m:r>
        <m:r>
          <m:t>n</m:t>
        </m:r>
        <m:r>
          <m:rPr>
            <m:sty m:val="p"/>
          </m:rPr>
          <m:t>–</m:t>
        </m:r>
      </m:oMath>
      <w:r>
        <w:rPr>
          <w:b/>
          <w:bCs/>
        </w:rPr>
        <w:t xml:space="preserve">3.85 billion</w:t>
      </w:r>
      <w:r>
        <w:t xml:space="preserve"> </w:t>
      </w:r>
      <w:r>
        <w:t xml:space="preserve">represents nearly 30% growth at the midpoint. That is central to the investment thesis: the company is transitioning from a heavy investment period toward stronger cash conversion.</w:t>
      </w:r>
    </w:p>
    <w:p>
      <w:pPr>
        <w:pStyle w:val="BodyText"/>
      </w:pPr>
      <w:r>
        <w:t xml:space="preserve">Management has said a 50% free-cash-flow-to-EBITDA conversion rate is an appropriate longer-term aspiration. The current 2026 outlook implies about 46%.</w:t>
      </w:r>
    </w:p>
    <w:p>
      <w:pPr>
        <w:pStyle w:val="BodyText"/>
      </w:pPr>
      <w:r>
        <w:t xml:space="preserve">Capital allocation priorities include:</w:t>
      </w:r>
    </w:p>
    <w:p>
      <w:pPr>
        <w:pStyle w:val="Compact"/>
        <w:numPr>
          <w:ilvl w:val="0"/>
          <w:numId w:val="1009"/>
        </w:numPr>
      </w:pPr>
      <w:r>
        <w:t xml:space="preserve">Approximately $1.5 billion of dividends</w:t>
      </w:r>
    </w:p>
    <w:p>
      <w:pPr>
        <w:pStyle w:val="Compact"/>
        <w:numPr>
          <w:ilvl w:val="0"/>
          <w:numId w:val="1009"/>
        </w:numPr>
      </w:pPr>
      <w:r>
        <w:t xml:space="preserve">Approximately $2 billion of share repurchases</w:t>
      </w:r>
    </w:p>
    <w:p>
      <w:pPr>
        <w:pStyle w:val="Compact"/>
        <w:numPr>
          <w:ilvl w:val="0"/>
          <w:numId w:val="1009"/>
        </w:numPr>
      </w:pPr>
      <w:r>
        <w:t xml:space="preserve">More than 90% of free cash flow returned to shareholders</w:t>
      </w:r>
    </w:p>
    <w:p>
      <w:pPr>
        <w:pStyle w:val="Compact"/>
        <w:numPr>
          <w:ilvl w:val="0"/>
          <w:numId w:val="1009"/>
        </w:numPr>
      </w:pPr>
      <m:oMath>
        <m:r>
          <m:t>100</m:t>
        </m:r>
        <m:r>
          <m:t>m</m:t>
        </m:r>
        <m:r>
          <m:t>i</m:t>
        </m:r>
        <m:r>
          <m:t>l</m:t>
        </m:r>
        <m:r>
          <m:t>l</m:t>
        </m:r>
        <m:r>
          <m:t>i</m:t>
        </m:r>
        <m:r>
          <m:t>o</m:t>
        </m:r>
        <m:r>
          <m:t>n</m:t>
        </m:r>
        <m:r>
          <m:rPr>
            <m:sty m:val="p"/>
          </m:rPr>
          <m:t>–</m:t>
        </m:r>
      </m:oMath>
      <w:r>
        <w:t xml:space="preserve">200 million of tuck-in acquisitions, potentially at or above the high end</w:t>
      </w:r>
    </w:p>
    <w:p>
      <w:pPr>
        <w:pStyle w:val="Compact"/>
        <w:numPr>
          <w:ilvl w:val="0"/>
          <w:numId w:val="1009"/>
        </w:numPr>
      </w:pPr>
      <w:r>
        <w:t xml:space="preserve">Leverage maintained within the 2.5x–3.0x target range</w:t>
      </w:r>
    </w:p>
    <w:p>
      <w:pPr>
        <w:pStyle w:val="FirstParagraph"/>
      </w:pPr>
      <w:r>
        <w:t xml:space="preserve">Only $344 million of stock was repurchased in Q1, and management said 55%–60% of the annual program would occur in the second half. Investors should look for continued progress without deterioration in leverage or acquisition discipline.</w:t>
      </w:r>
    </w:p>
    <w:p>
      <w:pPr>
        <w:pStyle w:val="BodyText"/>
      </w:pPr>
      <w:r>
        <w:t xml:space="preserve">One earnings-model caveat: Q1’s adjusted effective tax rate was only 18.4%, whereas full-year guidance is approximately 23%. The quarterly tax rate should normalize upward, meaning sequential EPS growth could appear weaker than EBITDA growth.</w:t>
      </w:r>
    </w:p>
    <w:bookmarkEnd w:id="17"/>
    <w:bookmarkEnd w:id="18"/>
    <w:bookmarkStart w:id="19" w:name="what-would-constitute-a-strong-report"/>
    <w:p>
      <w:pPr>
        <w:pStyle w:val="Heading2"/>
      </w:pPr>
      <w:r>
        <w:t xml:space="preserve">What would constitute a strong report?</w:t>
      </w:r>
    </w:p>
    <w:p>
      <w:pPr>
        <w:pStyle w:val="FirstParagraph"/>
      </w:pPr>
      <w:r>
        <w:t xml:space="preserve">A strong Q2 would likely include most of the following:</w:t>
      </w:r>
    </w:p>
    <w:p>
      <w:pPr>
        <w:pStyle w:val="Compact"/>
        <w:numPr>
          <w:ilvl w:val="0"/>
          <w:numId w:val="1010"/>
        </w:numPr>
      </w:pPr>
      <w:r>
        <w:rPr>
          <w:b/>
          <w:bCs/>
        </w:rPr>
        <w:t xml:space="preserve">Underlying collection and disposal volumes are positive</w:t>
      </w:r>
      <w:r>
        <w:t xml:space="preserve"> </w:t>
      </w:r>
      <w:r>
        <w:t xml:space="preserve">after adjusting for wildfire cleanup and intentionally exited residential contracts.</w:t>
      </w:r>
    </w:p>
    <w:p>
      <w:pPr>
        <w:pStyle w:val="Compact"/>
        <w:numPr>
          <w:ilvl w:val="0"/>
          <w:numId w:val="1010"/>
        </w:numPr>
      </w:pPr>
      <w:r>
        <w:rPr>
          <w:b/>
          <w:bCs/>
        </w:rPr>
        <w:t xml:space="preserve">Yield remains above the 3.2%–3.6% full-year target range.</w:t>
      </w:r>
    </w:p>
    <w:p>
      <w:pPr>
        <w:pStyle w:val="Compact"/>
        <w:numPr>
          <w:ilvl w:val="0"/>
          <w:numId w:val="1010"/>
        </w:numPr>
      </w:pPr>
      <w:r>
        <w:rPr>
          <w:b/>
          <w:bCs/>
        </w:rPr>
        <w:t xml:space="preserve">Margin expands strongly from Q1</w:t>
      </w:r>
      <w:r>
        <w:t xml:space="preserve"> </w:t>
      </w:r>
      <w:r>
        <w:t xml:space="preserve">and holds near or above the recast Q2 2025 level despite the wildfire headwind.</w:t>
      </w:r>
    </w:p>
    <w:p>
      <w:pPr>
        <w:pStyle w:val="Compact"/>
        <w:numPr>
          <w:ilvl w:val="0"/>
          <w:numId w:val="1010"/>
        </w:numPr>
      </w:pPr>
      <w:r>
        <w:rPr>
          <w:b/>
          <w:bCs/>
        </w:rPr>
        <w:t xml:space="preserve">Healthcare Solutions margin remains at least around 17%</w:t>
      </w:r>
      <w:r>
        <w:t xml:space="preserve">, with clear evidence that revenue growth will improve in Q3 and Q4.</w:t>
      </w:r>
    </w:p>
    <w:p>
      <w:pPr>
        <w:pStyle w:val="Compact"/>
        <w:numPr>
          <w:ilvl w:val="0"/>
          <w:numId w:val="1010"/>
        </w:numPr>
      </w:pPr>
      <w:r>
        <w:rPr>
          <w:b/>
          <w:bCs/>
        </w:rPr>
        <w:t xml:space="preserve">RNG plants and recycling projects remain substantially on schedule.</w:t>
      </w:r>
    </w:p>
    <w:p>
      <w:pPr>
        <w:pStyle w:val="Compact"/>
        <w:numPr>
          <w:ilvl w:val="0"/>
          <w:numId w:val="1010"/>
        </w:numPr>
      </w:pPr>
      <w:r>
        <w:rPr>
          <w:b/>
          <w:bCs/>
        </w:rPr>
        <w:t xml:space="preserve">Full-year EBITDA, margin, and free-cash-flow guidance are reaffirmed</w:t>
      </w:r>
      <w:r>
        <w:t xml:space="preserve">, ideally with commentary suggesting the upper half of one or more ranges.</w:t>
      </w:r>
    </w:p>
    <w:p>
      <w:pPr>
        <w:pStyle w:val="Compact"/>
        <w:numPr>
          <w:ilvl w:val="0"/>
          <w:numId w:val="1010"/>
        </w:numPr>
      </w:pPr>
      <w:r>
        <w:rPr>
          <w:b/>
          <w:bCs/>
        </w:rPr>
        <w:t xml:space="preserve">No meaningful deterioration in customer churn, safety, employee retention, or price-cost spread.</w:t>
      </w:r>
    </w:p>
    <w:bookmarkEnd w:id="19"/>
    <w:bookmarkStart w:id="20" w:name="what-could-disappoint-investors"/>
    <w:p>
      <w:pPr>
        <w:pStyle w:val="Heading2"/>
      </w:pPr>
      <w:r>
        <w:t xml:space="preserve">What could disappoint investors?</w:t>
      </w:r>
    </w:p>
    <w:p>
      <w:pPr>
        <w:pStyle w:val="FirstParagraph"/>
      </w:pPr>
      <w:r>
        <w:t xml:space="preserve">The main downside scenarios are:</w:t>
      </w:r>
    </w:p>
    <w:p>
      <w:pPr>
        <w:pStyle w:val="Compact"/>
        <w:numPr>
          <w:ilvl w:val="0"/>
          <w:numId w:val="1011"/>
        </w:numPr>
      </w:pPr>
      <w:r>
        <w:t xml:space="preserve">Full-year volume guidance is reduced because weakness extends beyond known comparisons.</w:t>
      </w:r>
    </w:p>
    <w:p>
      <w:pPr>
        <w:pStyle w:val="Compact"/>
        <w:numPr>
          <w:ilvl w:val="0"/>
          <w:numId w:val="1011"/>
        </w:numPr>
      </w:pPr>
      <w:r>
        <w:t xml:space="preserve">Management walks back the anticipated Healthcare Solutions revenue inflection.</w:t>
      </w:r>
    </w:p>
    <w:p>
      <w:pPr>
        <w:pStyle w:val="Compact"/>
        <w:numPr>
          <w:ilvl w:val="0"/>
          <w:numId w:val="1011"/>
        </w:numPr>
      </w:pPr>
      <w:r>
        <w:t xml:space="preserve">Utility-interconnection delays reduce expected 2026 sustainability EBITDA.</w:t>
      </w:r>
    </w:p>
    <w:p>
      <w:pPr>
        <w:pStyle w:val="Compact"/>
        <w:numPr>
          <w:ilvl w:val="0"/>
          <w:numId w:val="1011"/>
        </w:numPr>
      </w:pPr>
      <w:r>
        <w:t xml:space="preserve">Fuel or labor inflation compresses margins more than anticipated.</w:t>
      </w:r>
    </w:p>
    <w:p>
      <w:pPr>
        <w:pStyle w:val="Compact"/>
        <w:numPr>
          <w:ilvl w:val="0"/>
          <w:numId w:val="1011"/>
        </w:numPr>
      </w:pPr>
      <w:r>
        <w:t xml:space="preserve">Corporate technology spending remains elevated without enough offsetting operating benefits.</w:t>
      </w:r>
    </w:p>
    <w:p>
      <w:pPr>
        <w:pStyle w:val="Compact"/>
        <w:numPr>
          <w:ilvl w:val="0"/>
          <w:numId w:val="1011"/>
        </w:numPr>
      </w:pPr>
      <w:r>
        <w:t xml:space="preserve">Free-cash-flow strength proves disproportionately working-capital-driven.</w:t>
      </w:r>
    </w:p>
    <w:p>
      <w:pPr>
        <w:pStyle w:val="Compact"/>
        <w:numPr>
          <w:ilvl w:val="0"/>
          <w:numId w:val="1011"/>
        </w:numPr>
      </w:pPr>
      <w:r>
        <w:t xml:space="preserve">Guidance is merely maintained despite strong Q1 cash flow and favorable RNG tax credits.</w:t>
      </w:r>
    </w:p>
    <w:bookmarkEnd w:id="20"/>
    <w:bookmarkStart w:id="21" w:name="valuation-and-likely-reaction-function"/>
    <w:p>
      <w:pPr>
        <w:pStyle w:val="Heading2"/>
      </w:pPr>
      <w:r>
        <w:t xml:space="preserve">Valuation and likely reaction function</w:t>
      </w:r>
    </w:p>
    <w:p>
      <w:pPr>
        <w:pStyle w:val="FirstParagraph"/>
      </w:pPr>
      <w:r>
        <w:t xml:space="preserve">At roughly $238, WM is:</w:t>
      </w:r>
    </w:p>
    <w:p>
      <w:pPr>
        <w:pStyle w:val="Compact"/>
        <w:numPr>
          <w:ilvl w:val="0"/>
          <w:numId w:val="1012"/>
        </w:numPr>
      </w:pPr>
      <w:r>
        <w:t xml:space="preserve">Up approximately</w:t>
      </w:r>
      <w:r>
        <w:t xml:space="preserve"> </w:t>
      </w:r>
      <w:r>
        <w:rPr>
          <w:b/>
          <w:bCs/>
        </w:rPr>
        <w:t xml:space="preserve">8% from year-end 2025</w:t>
      </w:r>
    </w:p>
    <w:p>
      <w:pPr>
        <w:pStyle w:val="Compact"/>
        <w:numPr>
          <w:ilvl w:val="0"/>
          <w:numId w:val="1012"/>
        </w:numPr>
      </w:pPr>
      <w:r>
        <w:t xml:space="preserve">Up about</w:t>
      </w:r>
      <w:r>
        <w:t xml:space="preserve"> </w:t>
      </w:r>
      <w:r>
        <w:rPr>
          <w:b/>
          <w:bCs/>
        </w:rPr>
        <w:t xml:space="preserve">4% over the past year</w:t>
      </w:r>
    </w:p>
    <w:p>
      <w:pPr>
        <w:pStyle w:val="Compact"/>
        <w:numPr>
          <w:ilvl w:val="0"/>
          <w:numId w:val="1012"/>
        </w:numPr>
      </w:pPr>
      <w:r>
        <w:t xml:space="preserve">Roughly</w:t>
      </w:r>
      <w:r>
        <w:t xml:space="preserve"> </w:t>
      </w:r>
      <w:r>
        <w:rPr>
          <w:b/>
          <w:bCs/>
        </w:rPr>
        <w:t xml:space="preserve">3%–4% below its 2026 high</w:t>
      </w:r>
    </w:p>
    <w:p>
      <w:pPr>
        <w:pStyle w:val="Compact"/>
        <w:numPr>
          <w:ilvl w:val="0"/>
          <w:numId w:val="1012"/>
        </w:numPr>
      </w:pPr>
      <w:r>
        <w:t xml:space="preserve">Valued at approximately</w:t>
      </w:r>
      <w:r>
        <w:t xml:space="preserve"> </w:t>
      </w:r>
      <w:r>
        <w:rPr>
          <w:b/>
          <w:bCs/>
        </w:rPr>
        <w:t xml:space="preserve">14.5x 2026 guided EBITDA</w:t>
      </w:r>
    </w:p>
    <w:p>
      <w:pPr>
        <w:pStyle w:val="Compact"/>
        <w:numPr>
          <w:ilvl w:val="0"/>
          <w:numId w:val="1012"/>
        </w:numPr>
      </w:pPr>
      <w:r>
        <w:t xml:space="preserve">Trading at an implied</w:t>
      </w:r>
      <w:r>
        <w:t xml:space="preserve"> </w:t>
      </w:r>
      <w:r>
        <w:rPr>
          <w:b/>
          <w:bCs/>
        </w:rPr>
        <w:t xml:space="preserve">2026 free-cash-flow yield near 4%</w:t>
      </w:r>
    </w:p>
    <w:p>
      <w:pPr>
        <w:pStyle w:val="FirstParagraph"/>
      </w:pPr>
      <w:r>
        <w:t xml:space="preserve">That is a premium valuation for a defensive, high-quality franchise. It reflects confidence in resilient pricing, scarce landfill capacity, structural margin improvement, Healthcare Solutions synergies, and growing sustainability cash flows.</w:t>
      </w:r>
    </w:p>
    <w:p>
      <w:pPr>
        <w:pStyle w:val="BodyText"/>
      </w:pPr>
      <w:r>
        <w:t xml:space="preserve">Consequently:</w:t>
      </w:r>
    </w:p>
    <w:p>
      <w:pPr>
        <w:pStyle w:val="Compact"/>
        <w:numPr>
          <w:ilvl w:val="0"/>
          <w:numId w:val="1013"/>
        </w:numPr>
      </w:pPr>
      <w:r>
        <w:rPr>
          <w:b/>
          <w:bCs/>
        </w:rPr>
        <w:t xml:space="preserve">A basic beat and reaffirmation may produce only a modest reaction.</w:t>
      </w:r>
    </w:p>
    <w:p>
      <w:pPr>
        <w:pStyle w:val="Compact"/>
        <w:numPr>
          <w:ilvl w:val="0"/>
          <w:numId w:val="1013"/>
        </w:numPr>
      </w:pPr>
      <w:r>
        <w:rPr>
          <w:b/>
          <w:bCs/>
        </w:rPr>
        <w:t xml:space="preserve">An upside move probably requires stronger second-half language</w:t>
      </w:r>
      <w:r>
        <w:t xml:space="preserve">, particularly around volumes, Healthcare Solutions, sustainability commissioning, or free cash flow.</w:t>
      </w:r>
    </w:p>
    <w:p>
      <w:pPr>
        <w:pStyle w:val="Compact"/>
        <w:numPr>
          <w:ilvl w:val="0"/>
          <w:numId w:val="1013"/>
        </w:numPr>
      </w:pPr>
      <w:r>
        <w:rPr>
          <w:b/>
          <w:bCs/>
        </w:rPr>
        <w:t xml:space="preserve">A guidance reduction could be punished disproportionately</w:t>
      </w:r>
      <w:r>
        <w:t xml:space="preserve">, because the current valuation leaves limited room for execution slippage.</w:t>
      </w:r>
    </w:p>
    <w:bookmarkEnd w:id="21"/>
    <w:bookmarkStart w:id="22" w:name="bottom-line"/>
    <w:p>
      <w:pPr>
        <w:pStyle w:val="Heading2"/>
      </w:pPr>
      <w:r>
        <w:t xml:space="preserve">Bottom line</w:t>
      </w:r>
    </w:p>
    <w:p>
      <w:pPr>
        <w:pStyle w:val="FirstParagraph"/>
      </w:pPr>
      <w:r>
        <w:t xml:space="preserve">WM appears positioned to deliver a solid operating quarter, but the headline year-over-year comparison will be distorted by approximately $85 million of prior-year wildfire revenue. Investors should look past the reported volume figure and focus on underlying landfill activity, price-cost spread, margin resilience, and the quality of the second-half outlook.</w:t>
      </w:r>
    </w:p>
    <w:p>
      <w:pPr>
        <w:pStyle w:val="BodyText"/>
      </w:pPr>
      <w:r>
        <w:t xml:space="preserve">The most important takeaway will be whether management still sees a clear path to:</w:t>
      </w:r>
    </w:p>
    <w:p>
      <w:pPr>
        <w:pStyle w:val="Compact"/>
        <w:numPr>
          <w:ilvl w:val="0"/>
          <w:numId w:val="1014"/>
        </w:numPr>
      </w:pPr>
      <m:oMath>
        <m:r>
          <m:t>8.15</m:t>
        </m:r>
        <m:r>
          <m:t>b</m:t>
        </m:r>
        <m:r>
          <m:t>i</m:t>
        </m:r>
        <m:r>
          <m:t>l</m:t>
        </m:r>
        <m:r>
          <m:t>l</m:t>
        </m:r>
        <m:r>
          <m:t>i</m:t>
        </m:r>
        <m:r>
          <m:t>o</m:t>
        </m:r>
        <m:r>
          <m:t>n</m:t>
        </m:r>
        <m:r>
          <m:rPr>
            <m:sty m:val="p"/>
          </m:rPr>
          <m:t>–</m:t>
        </m:r>
      </m:oMath>
      <w:r>
        <w:rPr>
          <w:b/>
          <w:bCs/>
        </w:rPr>
        <w:t xml:space="preserve">8.25 billion of adjusted EBITDA</w:t>
      </w:r>
    </w:p>
    <w:p>
      <w:pPr>
        <w:pStyle w:val="Compact"/>
        <w:numPr>
          <w:ilvl w:val="0"/>
          <w:numId w:val="1014"/>
        </w:numPr>
      </w:pPr>
      <w:r>
        <w:rPr>
          <w:b/>
          <w:bCs/>
        </w:rPr>
        <w:t xml:space="preserve">30.8%–31.0% adjusted EBITDA margin</w:t>
      </w:r>
    </w:p>
    <w:p>
      <w:pPr>
        <w:pStyle w:val="Compact"/>
        <w:numPr>
          <w:ilvl w:val="0"/>
          <w:numId w:val="1014"/>
        </w:numPr>
      </w:pPr>
      <m:oMath>
        <m:r>
          <m:t>3.75</m:t>
        </m:r>
        <m:r>
          <m:t>b</m:t>
        </m:r>
        <m:r>
          <m:t>i</m:t>
        </m:r>
        <m:r>
          <m:t>l</m:t>
        </m:r>
        <m:r>
          <m:t>l</m:t>
        </m:r>
        <m:r>
          <m:t>i</m:t>
        </m:r>
        <m:r>
          <m:t>o</m:t>
        </m:r>
        <m:r>
          <m:t>n</m:t>
        </m:r>
        <m:r>
          <m:rPr>
            <m:sty m:val="p"/>
          </m:rPr>
          <m:t>–</m:t>
        </m:r>
      </m:oMath>
      <w:r>
        <w:rPr>
          <w:b/>
          <w:bCs/>
        </w:rPr>
        <w:t xml:space="preserve">3.85 billion of free cash flow</w:t>
      </w:r>
    </w:p>
    <w:p>
      <w:pPr>
        <w:pStyle w:val="Compact"/>
        <w:numPr>
          <w:ilvl w:val="0"/>
          <w:numId w:val="1014"/>
        </w:numPr>
      </w:pPr>
      <w:r>
        <w:t xml:space="preserve">A second-half Healthcare Solutions revenue inflection</w:t>
      </w:r>
    </w:p>
    <w:p>
      <w:pPr>
        <w:pStyle w:val="Compact"/>
        <w:numPr>
          <w:ilvl w:val="0"/>
          <w:numId w:val="1014"/>
        </w:numPr>
      </w:pPr>
      <w:r>
        <w:t xml:space="preserve">Timely realization of sustainability-project returns</w:t>
      </w:r>
    </w:p>
    <w:p>
      <w:pPr>
        <w:pStyle w:val="FirstParagraph"/>
      </w:pPr>
      <w:r>
        <w:t xml:space="preserve">The operating setup is constructive, but the valuation makes this less about simply meeting the quarter and more about demonstrating that WM’s investment-harvest phase is producing enough incremental earnings and cash flow to support a premium multiple.</w:t>
      </w:r>
    </w:p>
    <w:bookmarkEnd w:id="22"/>
    <w:bookmarkEnd w:id="23"/>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1"/>
  </w:num>
  <w:num w:numId="1012">
    <w:abstractNumId w:val="991"/>
  </w:num>
  <w:num w:numId="1013">
    <w:abstractNumId w:val="991"/>
  </w:num>
  <w:num w:numId="101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2026-07-28T01:45:19Z</dcterms:created>
  <dcterms:modified xsi:type="dcterms:W3CDTF">2026-07-28T01:45:19Z</dcterms:modified>
</cp:coreProperties>
</file>

<file path=docProps/custom.xml><?xml version="1.0" encoding="utf-8"?>
<Properties xmlns="http://schemas.openxmlformats.org/officeDocument/2006/custom-properties" xmlns:vt="http://schemas.openxmlformats.org/officeDocument/2006/docPropsVTypes"/>
</file>