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m-earnings-predictions--2026-07-28"/>
    <w:p>
      <w:pPr>
        <w:pStyle w:val="Heading1"/>
      </w:pPr>
      <w:r>
        <w:t xml:space="preserve">WM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~$2.03 vs. cons $2.00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~$6.71B vs. cons $6.69B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operating EBITDA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~$2.02B vs. cons $2.05B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adjusted operating EBITDA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~$8.20B vs. cons $8.21B (FY26)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revenue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~$26.53B vs. cons $26.56B (FY26)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free cash flow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~$3.80B vs. cons $3.81B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sustainability-business EBITDA contribution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~$245M vs. cons $248M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-2.1%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-3.0% (FOLLOW-THROUGH)</w:t>
            </w:r>
          </w:p>
        </w:tc>
        <w:tc>
          <w:tcPr/>
          <w:p>
            <w:pPr>
              <w:pStyle w:val="Compact"/>
            </w:pPr>
            <w:r>
              <w:t xml:space="preserve">The ~</w:t>
            </w:r>
            <m:oMath>
              <m:r>
                <m:t>30</m:t>
              </m:r>
              <m:r>
                <m:t>M</m:t>
              </m:r>
              <m:r>
                <m:t>E</m:t>
              </m:r>
              <m:r>
                <m:t>B</m:t>
              </m:r>
              <m:r>
                <m:t>I</m:t>
              </m:r>
              <m:r>
                <m:t>T</m:t>
              </m:r>
              <m:r>
                <m:t>D</m:t>
              </m:r>
              <m:r>
                <m:t>A</m:t>
              </m:r>
              <m:r>
                <m:t>s</m:t>
              </m:r>
              <m:r>
                <m:t>h</m:t>
              </m:r>
              <m:r>
                <m:t>o</m:t>
              </m:r>
              <m:r>
                <m:t>r</m:t>
              </m:r>
              <m:r>
                <m:t>t</m:t>
              </m:r>
              <m:r>
                <m:t>f</m:t>
              </m:r>
              <m:r>
                <m:t>a</m:t>
              </m:r>
              <m:r>
                <m:t>l</m:t>
              </m:r>
              <m:r>
                <m:t>l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a</m:t>
              </m:r>
              <m:r>
                <m:t> </m:t>
              </m:r>
            </m:oMath>
            <w:r>
              <w:t xml:space="preserve">10M-below-consensus FY26 EBITDA-guide midpoint leave limited room for a near-term estimate recovery; likely ~</w:t>
            </w:r>
            <m:oMath>
              <m:r>
                <m:t>0.03</m:t>
              </m:r>
              <m:r>
                <m:t>o</m:t>
              </m:r>
              <m:r>
                <m:t>f</m:t>
              </m:r>
              <m:r>
                <m:t>2026</m:t>
              </m:r>
              <m:r>
                <m:t>E</m:t>
              </m:r>
              <m:r>
                <m:t>P</m:t>
              </m:r>
              <m:r>
                <m:t>S</m:t>
              </m:r>
              <m:r>
                <m:t>r</m:t>
              </m:r>
              <m:r>
                <m:t>e</m:t>
              </m:r>
              <m:r>
                <m:t>v</m:t>
              </m:r>
              <m:r>
                <m:t>i</m:t>
              </m:r>
              <m:r>
                <m:t>s</m:t>
              </m:r>
              <m:r>
                <m:t>i</m:t>
              </m:r>
              <m:r>
                <m:t>o</m:t>
              </m:r>
              <m:r>
                <m:t>n</m:t>
              </m:r>
              <m:r>
                <m:t>s</m:t>
              </m:r>
              <m:r>
                <m:t>l</m:t>
              </m:r>
              <m:r>
                <m:t>o</m:t>
              </m:r>
              <m:r>
                <m:t>w</m:t>
              </m:r>
              <m:r>
                <m:t>e</m:t>
              </m:r>
              <m:r>
                <m:t>r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</m:oMath>
            <w:r>
              <w:t xml:space="preserve">0.07 of 2027 EPS revisions lower despite the ~$0.03 EPS beat.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2026-07-28T01:45:04Z</dcterms:created>
  <dcterms:modified xsi:type="dcterms:W3CDTF">2026-07-28T01:45:04Z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