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wm--2q26-earnings-preview"/>
    <w:p>
      <w:pPr>
        <w:pStyle w:val="Heading1"/>
      </w:pPr>
      <w:r>
        <w:t xml:space="preserve">WM — 2Q26 Earnings Preview</w:t>
      </w:r>
    </w:p>
    <w:p>
      <w:pPr>
        <w:pStyle w:val="BlockText"/>
      </w:pPr>
      <w:r>
        <w:rPr>
          <w:b/>
          <w:bCs/>
        </w:rPr>
        <w:t xml:space="preserve">Timing correction:</w:t>
      </w:r>
      <w:r>
        <w:t xml:space="preserve"> </w:t>
      </w:r>
      <w:r>
        <w:t xml:space="preserve">WM is scheduled to release 2Q26 results</w:t>
      </w:r>
      <w:r>
        <w:t xml:space="preserve"> </w:t>
      </w:r>
      <w:r>
        <w:rPr>
          <w:b/>
          <w:bCs/>
        </w:rPr>
        <w:t xml:space="preserve">after the market closes today, Tuesday, July 28, 2026</w:t>
      </w:r>
      <w:r>
        <w:t xml:space="preserve">. The investor conference call is</w:t>
      </w:r>
      <w:r>
        <w:t xml:space="preserve"> </w:t>
      </w:r>
      <w:r>
        <w:rPr>
          <w:b/>
          <w:bCs/>
        </w:rPr>
        <w:t xml:space="preserve">Wednesday, July 29 at 10:00 a.m. ET</w:t>
      </w:r>
      <w:r>
        <w:t xml:space="preserve">—not July 28. (</w:t>
      </w:r>
      <w:hyperlink r:id="rId9">
        <w:r>
          <w:rPr>
            <w:rStyle w:val="Hyperlink"/>
          </w:rPr>
          <w:t xml:space="preserve">investors.wm.com</w:t>
        </w:r>
      </w:hyperlink>
      <w:r>
        <w:t xml:space="preserve">)</w:t>
      </w:r>
    </w:p>
    <w:bookmarkStart w:id="11" w:name="X79300f2bc510f3f580436ca29aec0685c08a158"/>
    <w:p>
      <w:pPr>
        <w:pStyle w:val="Heading2"/>
      </w:pPr>
      <w:r>
        <w:t xml:space="preserve">Investment setup: execution versus a difficult comparison</w:t>
      </w:r>
    </w:p>
    <w:p>
      <w:pPr>
        <w:pStyle w:val="FirstParagraph"/>
      </w:pPr>
      <w:r>
        <w:t xml:space="preserve">WM enters 2Q with its core investment case intact: pricing discipline, landfill-network scarcity, technology-enabled cost control, a maturing renewable-energy/recycling investment program, and substantial free-cash-flow deployment toward dividends and repurchases.</w:t>
      </w:r>
    </w:p>
    <w:p>
      <w:pPr>
        <w:pStyle w:val="BodyText"/>
      </w:pPr>
      <w:r>
        <w:t xml:space="preserve">The near-term issue is</w:t>
      </w:r>
      <w:r>
        <w:t xml:space="preserve"> </w:t>
      </w:r>
      <w:r>
        <w:rPr>
          <w:b/>
          <w:bCs/>
        </w:rPr>
        <w:t xml:space="preserve">not the durability of the model; it is the comparison bar.</w:t>
      </w:r>
      <w:r>
        <w:t xml:space="preserve"> </w:t>
      </w:r>
      <w:r>
        <w:t xml:space="preserve">WM’s 2Q25 included roughly</w:t>
      </w:r>
      <w:r>
        <w:t xml:space="preserve"> </w:t>
      </w:r>
      <w:r>
        <w:rPr>
          <w:b/>
          <w:bCs/>
        </w:rPr>
        <w:t xml:space="preserve">$85 million of wildfire-related revenue</w:t>
      </w:r>
      <w:r>
        <w:t xml:space="preserve">, with high incremental margins, and collection-and-disposal volume grew 1.6% in that period. Management has already cautioned that this makes the 2Q26 margin comparison unusually difficult, even if underlying operations remain healthy. The market should therefore focus less on headline year-over-year volume and more on price/cost spread, underlying MSW and special-waste activity, and the trajectory exiting June. (</w:t>
      </w:r>
      <w:hyperlink r:id="rId10">
        <w:r>
          <w:rPr>
            <w:rStyle w:val="Hyperlink"/>
          </w:rPr>
          <w:t xml:space="preserve">investors.wm.com</w:t>
        </w:r>
      </w:hyperlink>
      <w:r>
        <w:t xml:space="preserve">)</w:t>
      </w:r>
    </w:p>
    <w:bookmarkEnd w:id="11"/>
    <w:bookmarkStart w:id="16" w:name="what-matters-most-in-the-print"/>
    <w:p>
      <w:pPr>
        <w:pStyle w:val="Heading2"/>
      </w:pPr>
      <w:r>
        <w:t xml:space="preserve">What matters most in the print</w:t>
      </w:r>
    </w:p>
    <w:bookmarkStart w:id="12" w:name="Xdd71c246a42466f282a3e6b1828cc58bff59e12"/>
    <w:p>
      <w:pPr>
        <w:pStyle w:val="Heading3"/>
      </w:pPr>
      <w:r>
        <w:t xml:space="preserve">1. Core price and collection/disposal margin are still the centerpiece</w:t>
      </w:r>
    </w:p>
    <w:p>
      <w:pPr>
        <w:pStyle w:val="FirstParagraph"/>
      </w:pPr>
      <w:r>
        <w:t xml:space="preserve">WM began 2026 ahead of its own pricing plan: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1Q26 KPI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Result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2026 guide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Collection &amp; disposal core price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6.3%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5.4%–5.8%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Collection &amp; disposal yield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3.9%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3.2%–3.6%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Collection &amp; disposal volume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(1.5%)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0.2%–0.6%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Adjusted operating EBITDA margin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29.8%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30.8%–31.0% full-year</w:t>
            </w:r>
          </w:p>
        </w:tc>
      </w:tr>
    </w:tbl>
    <w:p>
      <w:pPr>
        <w:pStyle w:val="BodyText"/>
      </w:pPr>
      <w:r>
        <w:t xml:space="preserve">The first-quarter volume decline was driven in meaningful part by severe weather, intentional exits from low-margin residential work, and the absence of prior-year wildfire cleanup. Underlying indicators improved late in the quarter: management cited positive industrial volumes, strong special-waste activity excluding the wildfire comparison, and MSW volume that had improved materially by late April.</w:t>
      </w:r>
    </w:p>
    <w:p>
      <w:pPr>
        <w:pStyle w:val="BodyText"/>
      </w:pPr>
      <w:r>
        <w:t xml:space="preserve">For 2Q, investors should look for: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Core price remaining above plan</w:t>
      </w:r>
      <w:r>
        <w:t xml:space="preserve">, particularly in commercial, residential and landfill/MSW;</w:t>
      </w:r>
    </w:p>
    <w:p>
      <w:pPr>
        <w:pStyle w:val="Compact"/>
        <w:numPr>
          <w:ilvl w:val="0"/>
          <w:numId w:val="1001"/>
        </w:numPr>
      </w:pPr>
      <w:r>
        <w:t xml:space="preserve">Evidence that price-cost spread remains favorable despite labor inflation;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Collection-and-disposal margin resilience</w:t>
      </w:r>
      <w:r>
        <w:t xml:space="preserve"> </w:t>
      </w:r>
      <w:r>
        <w:t xml:space="preserve">despite the wildfire lap;</w:t>
      </w:r>
    </w:p>
    <w:p>
      <w:pPr>
        <w:pStyle w:val="Compact"/>
        <w:numPr>
          <w:ilvl w:val="0"/>
          <w:numId w:val="1001"/>
        </w:numPr>
      </w:pPr>
      <w:r>
        <w:t xml:space="preserve">Confirmation that residential rationalization continues to trade volume for higher-quality revenue and profitability.</w:t>
      </w:r>
    </w:p>
    <w:p>
      <w:pPr>
        <w:pStyle w:val="FirstParagraph"/>
      </w:pPr>
      <w:r>
        <w:t xml:space="preserve">The Q1 result demonstrated that WM can expand margins even in a softer volume environment: adjusted collection-and-disposal EBITDA grew 6.4%, with roughly 110 bps of margin expansion. (</w:t>
      </w:r>
      <w:hyperlink r:id="rId10">
        <w:r>
          <w:rPr>
            <w:rStyle w:val="Hyperlink"/>
          </w:rPr>
          <w:t xml:space="preserve">investors.wm.com</w:t>
        </w:r>
      </w:hyperlink>
      <w:r>
        <w:t xml:space="preserve">)</w:t>
      </w:r>
    </w:p>
    <w:bookmarkEnd w:id="12"/>
    <w:bookmarkStart w:id="13" w:name="X2e8ad08eaae70649d59d4ddd33a87bb25b9506d"/>
    <w:p>
      <w:pPr>
        <w:pStyle w:val="Heading3"/>
      </w:pPr>
      <w:r>
        <w:t xml:space="preserve">2. Volume needs to improve—but the composition matters more than the aggregate</w:t>
      </w:r>
    </w:p>
    <w:p>
      <w:pPr>
        <w:pStyle w:val="FirstParagraph"/>
      </w:pPr>
      <w:r>
        <w:t xml:space="preserve">The Q2 comparison is distorted by last year’s wildfire cleanup. A weak reported volume number would not necessarily signal deterioration. More important questions are:</w:t>
      </w:r>
    </w:p>
    <w:p>
      <w:pPr>
        <w:pStyle w:val="Compact"/>
        <w:numPr>
          <w:ilvl w:val="0"/>
          <w:numId w:val="1002"/>
        </w:numPr>
      </w:pPr>
      <w:r>
        <w:t xml:space="preserve">Is</w:t>
      </w:r>
      <w:r>
        <w:t xml:space="preserve"> </w:t>
      </w:r>
      <w:r>
        <w:rPr>
          <w:b/>
          <w:bCs/>
        </w:rPr>
        <w:t xml:space="preserve">MSW landfill volume</w:t>
      </w:r>
      <w:r>
        <w:t xml:space="preserve"> </w:t>
      </w:r>
      <w:r>
        <w:t xml:space="preserve">still growing, supporting WM’s airspace value proposition?</w:t>
      </w:r>
    </w:p>
    <w:p>
      <w:pPr>
        <w:pStyle w:val="Compact"/>
        <w:numPr>
          <w:ilvl w:val="0"/>
          <w:numId w:val="1002"/>
        </w:numPr>
      </w:pPr>
      <w:r>
        <w:t xml:space="preserve">Does the positive inflection in</w:t>
      </w:r>
      <w:r>
        <w:t xml:space="preserve"> </w:t>
      </w:r>
      <w:r>
        <w:rPr>
          <w:b/>
          <w:bCs/>
        </w:rPr>
        <w:t xml:space="preserve">industrial collection</w:t>
      </w:r>
      <w:r>
        <w:t xml:space="preserve"> </w:t>
      </w:r>
      <w:r>
        <w:t xml:space="preserve">hold?</w:t>
      </w:r>
    </w:p>
    <w:p>
      <w:pPr>
        <w:pStyle w:val="Compact"/>
        <w:numPr>
          <w:ilvl w:val="0"/>
          <w:numId w:val="1002"/>
        </w:numPr>
      </w:pPr>
      <w:r>
        <w:t xml:space="preserve">Are</w:t>
      </w:r>
      <w:r>
        <w:t xml:space="preserve"> </w:t>
      </w:r>
      <w:r>
        <w:rPr>
          <w:b/>
          <w:bCs/>
        </w:rPr>
        <w:t xml:space="preserve">special-waste volumes</w:t>
      </w:r>
      <w:r>
        <w:t xml:space="preserve"> </w:t>
      </w:r>
      <w:r>
        <w:t xml:space="preserve">converting from a promising pipeline into revenue?</w:t>
      </w:r>
    </w:p>
    <w:p>
      <w:pPr>
        <w:pStyle w:val="Compact"/>
        <w:numPr>
          <w:ilvl w:val="0"/>
          <w:numId w:val="1002"/>
        </w:numPr>
      </w:pPr>
      <w:r>
        <w:t xml:space="preserve">Is the drag from residential pruning moderating as management indicated it should in the second half?</w:t>
      </w:r>
    </w:p>
    <w:p>
      <w:pPr>
        <w:pStyle w:val="FirstParagraph"/>
      </w:pPr>
      <w:r>
        <w:t xml:space="preserve">Special waste deserves particular attention. Management regards it as a useful forward indicator because customers can defer discretionary projects; sustained growth would support the view that industrial and construction-related activity is holding up.</w:t>
      </w:r>
    </w:p>
    <w:bookmarkEnd w:id="13"/>
    <w:bookmarkStart w:id="14" w:name="X7ce378742c34c0d3951926a7b4135fc64354c55"/>
    <w:p>
      <w:pPr>
        <w:pStyle w:val="Heading3"/>
      </w:pPr>
      <w:r>
        <w:t xml:space="preserve">3. Sustainability earnings: RNG commissioning and commodity realization</w:t>
      </w:r>
    </w:p>
    <w:p>
      <w:pPr>
        <w:pStyle w:val="FirstParagraph"/>
      </w:pPr>
      <w:r>
        <w:t xml:space="preserve">WM’s recycling and renewable-energy businesses are becoming more consequential to earnings growth. The company expects its sustainability businesses, including landfill-gas royalties, to add</w:t>
      </w:r>
      <w:r>
        <w:t xml:space="preserve"> </w:t>
      </w:r>
      <m:oMath>
        <m:r>
          <m:t>235</m:t>
        </m:r>
        <m:r>
          <m:t>m</m:t>
        </m:r>
        <m:r>
          <m:t>i</m:t>
        </m:r>
        <m:r>
          <m:t>l</m:t>
        </m:r>
        <m:r>
          <m:t>l</m:t>
        </m:r>
        <m:r>
          <m:t>i</m:t>
        </m:r>
        <m:r>
          <m:t>o</m:t>
        </m:r>
        <m:r>
          <m:t>n</m:t>
        </m:r>
        <m:r>
          <m:rPr>
            <m:sty m:val="p"/>
          </m:rPr>
          <m:t>–</m:t>
        </m:r>
      </m:oMath>
      <w:r>
        <w:rPr>
          <w:b/>
          <w:bCs/>
        </w:rPr>
        <w:t xml:space="preserve">255 million</w:t>
      </w:r>
      <w:r>
        <w:t xml:space="preserve"> </w:t>
      </w:r>
      <w:r>
        <w:t xml:space="preserve">of adjusted EBITDA in 2026, as prior growth investments move into production. Its longer-term target is for these activities to approach</w:t>
      </w:r>
      <w:r>
        <w:t xml:space="preserve"> </w:t>
      </w:r>
      <w:r>
        <w:rPr>
          <w:b/>
          <w:bCs/>
        </w:rPr>
        <w:t xml:space="preserve">$1 billion of EBITDA in 2027</w:t>
      </w:r>
      <w:r>
        <w:t xml:space="preserve"> </w:t>
      </w:r>
      <w:r>
        <w:t xml:space="preserve">at then-current market prices. (</w:t>
      </w:r>
      <w:hyperlink r:id="rId10">
        <w:r>
          <w:rPr>
            <w:rStyle w:val="Hyperlink"/>
          </w:rPr>
          <w:t xml:space="preserve">investors.wm.com</w:t>
        </w:r>
      </w:hyperlink>
      <w:r>
        <w:t xml:space="preserve">)</w:t>
      </w:r>
    </w:p>
    <w:p>
      <w:pPr>
        <w:pStyle w:val="BodyText"/>
      </w:pPr>
      <w:r>
        <w:t xml:space="preserve">The 2Q checklist: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RNG plant commissioning:</w:t>
      </w:r>
      <w:r>
        <w:t xml:space="preserve"> </w:t>
      </w:r>
      <w:r>
        <w:t xml:space="preserve">WM expected three additional RNG facilities to begin operating in 2Q, with further completions in the second half. Any utility-interconnection delay is a potential timing headwind.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RNG pricing and contracting:</w:t>
      </w:r>
      <w:r>
        <w:t xml:space="preserve"> </w:t>
      </w:r>
      <w:r>
        <w:t xml:space="preserve">WM had increased the percentage of 2026 RNG volume under contract to roughly 80% as of the Q1 call, improving earnings visibility.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Recycling commodity pricing:</w:t>
      </w:r>
      <w:r>
        <w:t xml:space="preserve"> </w:t>
      </w:r>
      <w:r>
        <w:t xml:space="preserve">The company’s planning assumption is about</w:t>
      </w:r>
      <w:r>
        <w:t xml:space="preserve"> </w:t>
      </w:r>
      <w:r>
        <w:rPr>
          <w:b/>
          <w:bCs/>
        </w:rPr>
        <w:t xml:space="preserve">$70 per ton</w:t>
      </w:r>
      <w:r>
        <w:t xml:space="preserve"> </w:t>
      </w:r>
      <w:r>
        <w:t xml:space="preserve">for blended single-stream recycled commodities. March pricing was about $69 per ton, close to plan. Recycling EBITDA held up in Q1 despite sharply lower year-over-year commodity prices because automation, quality improvements, and higher throughput offset the commodity pressure.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Margin conversion:</w:t>
      </w:r>
      <w:r>
        <w:t xml:space="preserve"> </w:t>
      </w:r>
      <w:r>
        <w:t xml:space="preserve">Q1 recycling and renewable-energy EBITDA together rose about $49 million on an adjusted basis. Investors will want confirmation that this contribution is progressing toward a more second-half-weighted 2026 outlook.</w:t>
      </w:r>
    </w:p>
    <w:bookmarkEnd w:id="14"/>
    <w:bookmarkStart w:id="15" w:name="Xb1b3e3abf4f407029d9864d3219b6aa88af542d"/>
    <w:p>
      <w:pPr>
        <w:pStyle w:val="Heading3"/>
      </w:pPr>
      <w:r>
        <w:t xml:space="preserve">4. Healthcare Solutions: the key execution swing factor for the back half</w:t>
      </w:r>
    </w:p>
    <w:p>
      <w:pPr>
        <w:pStyle w:val="FirstParagraph"/>
      </w:pPr>
      <w:r>
        <w:t xml:space="preserve">Healthcare Solutions remains the major self-help opportunity. In Q1, revenue was roughly flat year over year, but adjusted EBITDA increased about 12% and margin expanded 200 bps as WM captured synergies and controlled SG&amp;A. Management expects</w:t>
      </w:r>
      <w:r>
        <w:t xml:space="preserve"> </w:t>
      </w:r>
      <w:r>
        <w:rPr>
          <w:b/>
          <w:bCs/>
        </w:rPr>
        <w:t xml:space="preserve">revenue growth to inflect positively in the second half of 2026</w:t>
      </w:r>
      <w:r>
        <w:t xml:space="preserve"> </w:t>
      </w:r>
      <w:r>
        <w:t xml:space="preserve">as ERP-related disruption subsides, customer credits normalize, pricing sticks, and cross-selling gains traction. (</w:t>
      </w:r>
      <w:hyperlink r:id="rId10">
        <w:r>
          <w:rPr>
            <w:rStyle w:val="Hyperlink"/>
          </w:rPr>
          <w:t xml:space="preserve">investors.wm.com</w:t>
        </w:r>
      </w:hyperlink>
      <w:r>
        <w:t xml:space="preserve">)</w:t>
      </w:r>
    </w:p>
    <w:p>
      <w:pPr>
        <w:pStyle w:val="BodyText"/>
      </w:pPr>
      <w:r>
        <w:t xml:space="preserve">Key items to watch:</w:t>
      </w:r>
    </w:p>
    <w:p>
      <w:pPr>
        <w:pStyle w:val="Compact"/>
        <w:numPr>
          <w:ilvl w:val="0"/>
          <w:numId w:val="1004"/>
        </w:numPr>
      </w:pPr>
      <w:r>
        <w:t xml:space="preserve">Whether customer credits and billing issues continue to recede;</w:t>
      </w:r>
    </w:p>
    <w:p>
      <w:pPr>
        <w:pStyle w:val="Compact"/>
        <w:numPr>
          <w:ilvl w:val="0"/>
          <w:numId w:val="1004"/>
        </w:numPr>
      </w:pPr>
      <w:r>
        <w:t xml:space="preserve">Price versus volume progress—especially hospital retention and new customer wins;</w:t>
      </w:r>
    </w:p>
    <w:p>
      <w:pPr>
        <w:pStyle w:val="Compact"/>
        <w:numPr>
          <w:ilvl w:val="0"/>
          <w:numId w:val="1004"/>
        </w:numPr>
      </w:pPr>
      <w:r>
        <w:t xml:space="preserve">Cross-selling between regulated medical waste and solid-waste services;</w:t>
      </w:r>
    </w:p>
    <w:p>
      <w:pPr>
        <w:pStyle w:val="Compact"/>
        <w:numPr>
          <w:ilvl w:val="0"/>
          <w:numId w:val="1004"/>
        </w:numPr>
      </w:pPr>
      <w:r>
        <w:t xml:space="preserve">The path toward</w:t>
      </w:r>
      <w:r>
        <w:t xml:space="preserve"> </w:t>
      </w:r>
      <w:r>
        <w:rPr>
          <w:b/>
          <w:bCs/>
        </w:rPr>
        <w:t xml:space="preserve">$300 million of run-rate synergies by year-end 2027</w:t>
      </w:r>
      <w:r>
        <w:t xml:space="preserve">, with management suggesting potential upside to that target.</w:t>
      </w:r>
    </w:p>
    <w:p>
      <w:pPr>
        <w:pStyle w:val="FirstParagraph"/>
      </w:pPr>
      <w:r>
        <w:t xml:space="preserve">A clean Healthcare update would strengthen the earnings outlook for 2H26 and 2027. Conversely, renewed ERP, retention, or billing friction would likely matter more to the stock than a modest core-solid-waste shortfall.</w:t>
      </w:r>
    </w:p>
    <w:bookmarkEnd w:id="15"/>
    <w:bookmarkEnd w:id="16"/>
    <w:bookmarkStart w:id="17" w:name="X0218d8c3f8b858e76673108d842124d9dcf3915"/>
    <w:p>
      <w:pPr>
        <w:pStyle w:val="Heading2"/>
      </w:pPr>
      <w:r>
        <w:t xml:space="preserve">Cash flow, capital allocation, and guidance</w:t>
      </w:r>
    </w:p>
    <w:p>
      <w:pPr>
        <w:pStyle w:val="FirstParagraph"/>
      </w:pPr>
      <w:r>
        <w:t xml:space="preserve">WM reaffirmed its full-year outlook after 1Q: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2026 outlook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Range / target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Revenue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26.425</m:t>
              </m:r>
              <m:r>
                <m:t>B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26.625B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Adjusted operating EBITDA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8.15</m:t>
              </m:r>
              <m:r>
                <m:t>B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8.25B</w:t>
            </w:r>
          </w:p>
        </w:tc>
      </w:tr>
      <w:tr>
        <w:tc>
          <w:tcPr/>
          <w:p>
            <w:pPr>
              <w:pStyle w:val="Compact"/>
            </w:pPr>
            <w:r>
              <w:t xml:space="preserve">Adjusted EBITDA margin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30.8%–31.0%</w:t>
            </w:r>
          </w:p>
        </w:tc>
      </w:tr>
      <w:tr>
        <w:tc>
          <w:tcPr/>
          <w:p>
            <w:pPr>
              <w:pStyle w:val="Compact"/>
            </w:pPr>
            <w:r>
              <w:t xml:space="preserve">Free cash flow</w:t>
            </w:r>
          </w:p>
        </w:tc>
        <w:tc>
          <w:tcPr/>
          <w:p>
            <w:pPr>
              <w:pStyle w:val="Compact"/>
              <w:jc w:val="right"/>
            </w:pPr>
            <m:oMath>
              <m:r>
                <m:t>3.75</m:t>
              </m:r>
              <m:r>
                <m:t>B</m:t>
              </m:r>
              <m:r>
                <m:rPr>
                  <m:sty m:val="p"/>
                </m:rPr>
                <m:t>–</m:t>
              </m:r>
            </m:oMath>
            <w:r>
              <w:rPr>
                <w:b/>
                <w:bCs/>
              </w:rPr>
              <w:t xml:space="preserve">3.85B</w:t>
            </w:r>
          </w:p>
        </w:tc>
      </w:tr>
      <w:tr>
        <w:tc>
          <w:tcPr/>
          <w:p>
            <w:pPr>
              <w:pStyle w:val="Compact"/>
            </w:pPr>
            <w:r>
              <w:t xml:space="preserve">Share repurchases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~$2.0B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Annual dividends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~$1.5B</w:t>
            </w:r>
          </w:p>
        </w:tc>
      </w:tr>
    </w:tbl>
    <w:p>
      <w:pPr>
        <w:pStyle w:val="BodyText"/>
      </w:pPr>
      <w:r>
        <w:t xml:space="preserve">First-quarter free cash flow nearly doubled year over year to</w:t>
      </w:r>
      <w:r>
        <w:t xml:space="preserve"> </w:t>
      </w:r>
      <m:oMath>
        <m:r>
          <m:t>920</m:t>
        </m:r>
        <m:r>
          <m:t>m</m:t>
        </m:r>
        <m:r>
          <m:t>i</m:t>
        </m:r>
        <m:r>
          <m:t>l</m:t>
        </m:r>
        <m:r>
          <m:t>l</m:t>
        </m:r>
        <m:r>
          <m:t>i</m:t>
        </m:r>
        <m:r>
          <m:t>o</m:t>
        </m:r>
        <m:r>
          <m:t>n</m:t>
        </m:r>
        <m:r>
          <m:rPr>
            <m:sty m:val="p"/>
          </m:rPr>
          <m:t>*</m:t>
        </m:r>
        <m:r>
          <m:rPr>
            <m:sty m:val="p"/>
          </m:rPr>
          <m:t>*</m:t>
        </m:r>
        <m:r>
          <m:rPr>
            <m:sty m:val="p"/>
          </m:rPr>
          <m:t>,</m:t>
        </m:r>
        <m:r>
          <m:t>h</m:t>
        </m:r>
        <m:r>
          <m:t>e</m:t>
        </m:r>
        <m:r>
          <m:t>l</m:t>
        </m:r>
        <m:r>
          <m:t>p</m:t>
        </m:r>
        <m:r>
          <m:t>e</m:t>
        </m:r>
        <m:r>
          <m:t>d</m:t>
        </m:r>
        <m:r>
          <m:t>b</m:t>
        </m:r>
        <m:r>
          <m:t>y</m:t>
        </m:r>
        <m:r>
          <m:t>s</m:t>
        </m:r>
        <m:r>
          <m:t>t</m:t>
        </m:r>
        <m:r>
          <m:t>r</m:t>
        </m:r>
        <m:r>
          <m:t>o</m:t>
        </m:r>
        <m:r>
          <m:t>n</m:t>
        </m:r>
        <m:r>
          <m:t>g</m:t>
        </m:r>
        <m:r>
          <m:t>e</m:t>
        </m:r>
        <m:r>
          <m:t>r</m:t>
        </m:r>
        <m:r>
          <m:t>o</m:t>
        </m:r>
        <m:r>
          <m:t>p</m:t>
        </m:r>
        <m:r>
          <m:t>e</m:t>
        </m:r>
        <m:r>
          <m:t>r</m:t>
        </m:r>
        <m:r>
          <m:t>a</m:t>
        </m:r>
        <m:r>
          <m:t>t</m:t>
        </m:r>
        <m:r>
          <m:t>i</m:t>
        </m:r>
        <m:r>
          <m:t>n</m:t>
        </m:r>
        <m:r>
          <m:t>g</m:t>
        </m:r>
        <m:r>
          <m:t>e</m:t>
        </m:r>
        <m:r>
          <m:t>a</m:t>
        </m:r>
        <m:r>
          <m:t>r</m:t>
        </m:r>
        <m:r>
          <m:t>n</m:t>
        </m:r>
        <m:r>
          <m:t>i</m:t>
        </m:r>
        <m:r>
          <m:t>n</m:t>
        </m:r>
        <m:r>
          <m:t>g</m:t>
        </m:r>
        <m:r>
          <m:t>s</m:t>
        </m:r>
        <m:r>
          <m:rPr>
            <m:sty m:val="p"/>
          </m:rPr>
          <m:t>,</m:t>
        </m:r>
        <m:r>
          <m:t>w</m:t>
        </m:r>
        <m:r>
          <m:t>o</m:t>
        </m:r>
        <m:r>
          <m:t>r</m:t>
        </m:r>
        <m:r>
          <m:t>k</m:t>
        </m:r>
        <m:r>
          <m:t>i</m:t>
        </m:r>
        <m:r>
          <m:t>n</m:t>
        </m:r>
        <m:r>
          <m:t>g</m:t>
        </m:r>
        <m:r>
          <m:rPr>
            <m:sty m:val="p"/>
          </m:rPr>
          <m:t>−</m:t>
        </m:r>
        <m:r>
          <m:t>c</m:t>
        </m:r>
        <m:r>
          <m:t>a</m:t>
        </m:r>
        <m:r>
          <m:t>p</m:t>
        </m:r>
        <m:r>
          <m:t>i</m:t>
        </m:r>
        <m:r>
          <m:t>t</m:t>
        </m:r>
        <m:r>
          <m:t>a</m:t>
        </m:r>
        <m:r>
          <m:t>l</m:t>
        </m:r>
        <m:r>
          <m:t>i</m:t>
        </m:r>
        <m:r>
          <m:t>m</m:t>
        </m:r>
        <m:r>
          <m:t>p</m:t>
        </m:r>
        <m:r>
          <m:t>r</m:t>
        </m:r>
        <m:r>
          <m:t>o</m:t>
        </m:r>
        <m:r>
          <m:t>v</m:t>
        </m:r>
        <m:r>
          <m:t>e</m:t>
        </m:r>
        <m:r>
          <m:t>m</m:t>
        </m:r>
        <m:r>
          <m:t>e</m:t>
        </m:r>
        <m:r>
          <m:t>n</m:t>
        </m:r>
        <m:r>
          <m:t>t</m:t>
        </m:r>
        <m:r>
          <m:rPr>
            <m:sty m:val="p"/>
          </m:rPr>
          <m:t>,</m:t>
        </m:r>
        <m:r>
          <m:t>a</m:t>
        </m:r>
        <m:r>
          <m:t>n</m:t>
        </m:r>
        <m:r>
          <m:t>d</m:t>
        </m:r>
        <m:r>
          <m:t>l</m:t>
        </m:r>
        <m:r>
          <m:t>o</m:t>
        </m:r>
        <m:r>
          <m:t>w</m:t>
        </m:r>
        <m:r>
          <m:t>e</m:t>
        </m:r>
        <m:r>
          <m:t>r</m:t>
        </m:r>
        <m:r>
          <m:t>c</m:t>
        </m:r>
        <m:r>
          <m:t>a</m:t>
        </m:r>
        <m:r>
          <m:t>p</m:t>
        </m:r>
        <m:r>
          <m:t>e</m:t>
        </m:r>
        <m:r>
          <m:t>x</m:t>
        </m:r>
        <m:r>
          <m:rPr>
            <m:sty m:val="p"/>
          </m:rPr>
          <m:t>.</m:t>
        </m:r>
        <m:r>
          <m:t>W</m:t>
        </m:r>
        <m:r>
          <m:t>M</m:t>
        </m:r>
        <m:r>
          <m:t>a</m:t>
        </m:r>
        <m:r>
          <m:t>l</m:t>
        </m:r>
        <m:r>
          <m:t>s</m:t>
        </m:r>
        <m:r>
          <m:t>o</m:t>
        </m:r>
        <m:r>
          <m:t>r</m:t>
        </m:r>
        <m:r>
          <m:t>e</m:t>
        </m:r>
        <m:r>
          <m:t>t</m:t>
        </m:r>
        <m:r>
          <m:t>u</m:t>
        </m:r>
        <m:r>
          <m:t>r</m:t>
        </m:r>
        <m:r>
          <m:t>n</m:t>
        </m:r>
        <m:r>
          <m:t>e</m:t>
        </m:r>
        <m:r>
          <m:t>d</m:t>
        </m:r>
        <m:r>
          <m:rPr>
            <m:sty m:val="p"/>
          </m:rPr>
          <m:t>*</m:t>
        </m:r>
        <m:r>
          <m:rPr>
            <m:sty m:val="p"/>
          </m:rPr>
          <m:t>*</m:t>
        </m:r>
      </m:oMath>
      <w:r>
        <w:rPr>
          <w:b/>
          <w:bCs/>
        </w:rPr>
        <w:t xml:space="preserve">729 million</w:t>
      </w:r>
      <w:r>
        <w:t xml:space="preserve"> </w:t>
      </w:r>
      <w:r>
        <w:t xml:space="preserve">to shareholders during the quarter, including $344 million of buybacks and $385 million of dividends. Leverage ended Q1 at</w:t>
      </w:r>
      <w:r>
        <w:t xml:space="preserve"> </w:t>
      </w:r>
      <w:r>
        <w:rPr>
          <w:b/>
          <w:bCs/>
        </w:rPr>
        <w:t xml:space="preserve">2.94x</w:t>
      </w:r>
      <w:r>
        <w:t xml:space="preserve">, back inside the company’s 2.5x–3.0x target range. (</w:t>
      </w:r>
      <w:hyperlink r:id="rId10">
        <w:r>
          <w:rPr>
            <w:rStyle w:val="Hyperlink"/>
          </w:rPr>
          <w:t xml:space="preserve">investors.wm.com</w:t>
        </w:r>
      </w:hyperlink>
      <w:r>
        <w:t xml:space="preserve">)</w:t>
      </w:r>
    </w:p>
    <w:p>
      <w:pPr>
        <w:pStyle w:val="BodyText"/>
      </w:pPr>
      <w:r>
        <w:t xml:space="preserve">At the low and high ends of EBITDA guidance, WM needs to produce roughly</w:t>
      </w:r>
      <w:r>
        <w:t xml:space="preserve"> </w:t>
      </w:r>
      <m:oMath>
        <m:r>
          <m:t>6.30</m:t>
        </m:r>
        <m:r>
          <m:t>b</m:t>
        </m:r>
        <m:r>
          <m:t>i</m:t>
        </m:r>
        <m:r>
          <m:t>l</m:t>
        </m:r>
        <m:r>
          <m:t>l</m:t>
        </m:r>
        <m:r>
          <m:t>i</m:t>
        </m:r>
        <m:r>
          <m:t>o</m:t>
        </m:r>
        <m:r>
          <m:t>n</m:t>
        </m:r>
        <m:r>
          <m:rPr>
            <m:sty m:val="p"/>
          </m:rPr>
          <m:t>–</m:t>
        </m:r>
      </m:oMath>
      <w:r>
        <w:rPr>
          <w:b/>
          <w:bCs/>
        </w:rPr>
        <w:t xml:space="preserve">6.40 billion</w:t>
      </w:r>
      <w:r>
        <w:t xml:space="preserve"> </w:t>
      </w:r>
      <w:r>
        <w:t xml:space="preserve">of adjusted EBITDA over the final three quarters of 2026 after generating $1.853 billion in 1Q. That is achievable given normal seasonality, but it makes the 2Q commentary on volume, RNG startup timing, and Healthcare’s second-half inflection important.</w:t>
      </w:r>
    </w:p>
    <w:bookmarkEnd w:id="17"/>
    <w:bookmarkStart w:id="18" w:name="risks-into-the-report"/>
    <w:p>
      <w:pPr>
        <w:pStyle w:val="Heading2"/>
      </w:pPr>
      <w:r>
        <w:t xml:space="preserve">Risks into the report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Wildfire comparison obscures the underlying trend.</w:t>
      </w:r>
      <w:r>
        <w:t xml:space="preserve"> </w:t>
      </w:r>
      <w:r>
        <w:t xml:space="preserve">Reported volume or margin may look weaker even with solid underlying execution.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Fuel and labor inflation.</w:t>
      </w:r>
      <w:r>
        <w:t xml:space="preserve"> </w:t>
      </w:r>
      <w:r>
        <w:t xml:space="preserve">WM’s surcharge mechanisms recover much of fuel cost, but they can create temporary margin-rate pressure.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RNG commissioning/interconnection timing.</w:t>
      </w:r>
      <w:r>
        <w:t xml:space="preserve"> </w:t>
      </w:r>
      <w:r>
        <w:t xml:space="preserve">Delays would shift, rather than necessarily destroy, expected EBITDA.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Recycling commodity volatility.</w:t>
      </w:r>
      <w:r>
        <w:t xml:space="preserve"> </w:t>
      </w:r>
      <w:r>
        <w:t xml:space="preserve">A $10-per-ton change in blended recycling commodity pricing has historically represented roughly a $27 million EBITDA sensitivity for WM.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Healthcare execution.</w:t>
      </w:r>
      <w:r>
        <w:t xml:space="preserve"> </w:t>
      </w:r>
      <w:r>
        <w:t xml:space="preserve">Customer retention, billing stability, and synergy delivery are central to the 2H growth narrative.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Macro sensitivity at the margin.</w:t>
      </w:r>
      <w:r>
        <w:t xml:space="preserve"> </w:t>
      </w:r>
      <w:r>
        <w:t xml:space="preserve">Industrial and special-waste volumes provide useful reads on commercial activity, although WM’s recurring collection and disposal business remains comparatively defensive.</w:t>
      </w:r>
    </w:p>
    <w:bookmarkEnd w:id="18"/>
    <w:bookmarkStart w:id="19" w:name="stock-context-and-bottom-line"/>
    <w:p>
      <w:pPr>
        <w:pStyle w:val="Heading2"/>
      </w:pPr>
      <w:r>
        <w:t xml:space="preserve">Stock context and bottom line</w:t>
      </w:r>
    </w:p>
    <w:p>
      <w:pPr>
        <w:pStyle w:val="FirstParagraph"/>
      </w:pPr>
      <w:r>
        <w:t xml:space="preserve">WM closed at</w:t>
      </w:r>
      <w:r>
        <w:t xml:space="preserve"> </w:t>
      </w:r>
      <w:r>
        <w:rPr>
          <w:b/>
          <w:bCs/>
        </w:rPr>
        <w:t xml:space="preserve">$237.94 on July 27</w:t>
      </w:r>
      <w:r>
        <w:t xml:space="preserve">, up about</w:t>
      </w:r>
      <w:r>
        <w:t xml:space="preserve"> </w:t>
      </w:r>
      <w:r>
        <w:rPr>
          <w:b/>
          <w:bCs/>
        </w:rPr>
        <w:t xml:space="preserve">8.3% year to date</w:t>
      </w:r>
      <w:r>
        <w:t xml:space="preserve">, though still roughly 3.5% below its March high. The setup appears to require more than an in-line result: investors will likely want evidence that strong pricing and cost execution can overcome the wildfire comparison, while Healthcare and sustainability investments remain on schedule to drive a more favorable second-half earnings cadence.</w:t>
      </w:r>
    </w:p>
    <w:p>
      <w:pPr>
        <w:pStyle w:val="BodyText"/>
      </w:pPr>
      <w:r>
        <w:rPr>
          <w:b/>
          <w:bCs/>
        </w:rPr>
        <w:t xml:space="preserve">Bottom line:</w:t>
      </w:r>
      <w:r>
        <w:t xml:space="preserve"> </w:t>
      </w:r>
      <w:r>
        <w:t xml:space="preserve">A constructive report would feature continued above-plan pricing, stable underlying disposal/special-waste trends, reaffirmed full-year guidance, no material RNG interconnection slippage, and tangible evidence that Healthcare revenue is approaching its expected second-half turn. The largest risk is that the difficult 2Q25 wildfire comparison, coupled with any project-timing or Healthcare noise, masks an otherwise intact long-term earnings and free-cash-flow story.</w:t>
      </w:r>
    </w:p>
    <w:bookmarkEnd w:id="19"/>
    <w:bookmarkEnd w:id="2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0" Target="https://investors.wm.com/news-releases/news-release-details/wm-announces-first-quarter-2026-earnings/?utm_source=openai" TargetMode="External" /><Relationship Type="http://schemas.openxmlformats.org/officeDocument/2006/relationships/hyperlink" Id="rId9" Target="https://investors.wm.com/news-releases/news-release-details/wm-sets-date-second-quarter-2026-earnings-conference-call?utm_source=openai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0" Target="https://investors.wm.com/news-releases/news-release-details/wm-announces-first-quarter-2026-earnings/?utm_source=openai" TargetMode="External" /><Relationship Type="http://schemas.openxmlformats.org/officeDocument/2006/relationships/hyperlink" Id="rId9" Target="https://investors.wm.com/news-releases/news-release-details/wm-sets-date-second-quarter-2026-earnings-conference-call?utm_source=openai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2026-07-28T01:45:04Z</dcterms:created>
  <dcterms:modified xsi:type="dcterms:W3CDTF">2026-07-28T01:45:04Z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