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mb-earnings-predictions--2026-08-03"/>
    <w:p>
      <w:pPr>
        <w:pStyle w:val="Heading1"/>
      </w:pPr>
      <w:r>
        <w:t xml:space="preserve">WMB Earnings Predictions — 2026-08-03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~$0.53 vs. cons $0.52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2.03</m:t>
              </m:r>
              <m:r>
                <m:t>B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2.00B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~$3.10B vs. cons $3.08B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Adjusted EBITDA range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8.20</m:t>
              </m:r>
              <m:r>
                <m:rPr>
                  <m:sty m:val="p"/>
                </m:rPr>
                <m:t>−</m:t>
              </m:r>
              <m:r>
                <m:t>8.35</m:t>
              </m:r>
              <m:r>
                <m:t>B</m:t>
              </m:r>
              <m:r>
                <m:rPr>
                  <m:sty m:val="p"/>
                </m:rPr>
                <m:t>(</m:t>
              </m:r>
              <m:r>
                <m:t>u</m:t>
              </m:r>
              <m:r>
                <m:t>p</m:t>
              </m:r>
              <m:r>
                <m:t>p</m:t>
              </m:r>
              <m:r>
                <m:t>e</m:t>
              </m:r>
              <m:r>
                <m:t>r</m:t>
              </m:r>
              <m:r>
                <m:t>h</m:t>
              </m:r>
              <m:r>
                <m:t>a</m:t>
              </m:r>
              <m:r>
                <m:t>l</m:t>
              </m:r>
              <m:r>
                <m:t>f</m:t>
              </m:r>
              <m:r>
                <m:rPr>
                  <m:sty m:val="p"/>
                </m:rPr>
                <m:t>)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8.20B midpoint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Adjusted EPS guidance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reaffirmed ~</w:t>
            </w:r>
            <m:oMath>
              <m:r>
                <m:t>2.20</m:t>
              </m:r>
              <m:r>
                <m:rPr>
                  <m:sty m:val="p"/>
                </m:rPr>
                <m:t>−</m:t>
              </m:r>
              <m:r>
                <m:t>2.38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2.44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Growth capex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7.0</m:t>
              </m:r>
              <m:r>
                <m:rPr>
                  <m:sty m:val="p"/>
                </m:rPr>
                <m:t>−</m:t>
              </m:r>
              <m:r>
                <m:t>7.6</m:t>
              </m:r>
              <m:r>
                <m:t>B</m:t>
              </m:r>
              <m:r>
                <m:rPr>
                  <m:sty m:val="p"/>
                </m:rPr>
                <m:t>(</m:t>
              </m:r>
            </m:oMath>
            <w:r>
              <w:t xml:space="preserve">7.3B mid) vs. cons ~$7.3B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Leverage / Blackstone JV funding trajectory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peak ~4.1x vs. 3.5-4.0x target, JV cuts equity need ~$5.34B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+1.0%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-0.8% (FADE)</w:t>
            </w:r>
          </w:p>
        </w:tc>
        <w:tc>
          <w:tcPr/>
          <w:p>
            <w:pPr>
              <w:pStyle w:val="Compact"/>
            </w:pPr>
            <w:r>
              <w:t xml:space="preserve">A modest headline beat plus an upper-half EBITDA nudge should spark a small day-1 pop off the ~</w:t>
            </w:r>
            <m:oMath>
              <m:r>
                <m:t>71.5</m:t>
              </m:r>
              <m:r>
                <m:t>b</m:t>
              </m:r>
              <m:r>
                <m:t>a</m:t>
              </m:r>
              <m:r>
                <m:t>s</m:t>
              </m:r>
              <m:r>
                <m:t>e</m:t>
              </m:r>
              <m:r>
                <m:rPr>
                  <m:sty m:val="p"/>
                </m:rPr>
                <m:t>(</m:t>
              </m:r>
              <m:r>
                <m:t>a</m:t>
              </m:r>
              <m:r>
                <m:t>l</m:t>
              </m:r>
              <m:r>
                <m:t>r</m:t>
              </m:r>
              <m:r>
                <m:t>e</m:t>
              </m:r>
              <m:r>
                <m:t>a</m:t>
              </m:r>
              <m:r>
                <m:t>d</m:t>
              </m:r>
              <m:r>
                <m:t>y</m:t>
              </m:r>
              <m:r>
                <m:t> </m:t>
              </m:r>
              <m:r>
                <m:t>10</m:t>
              </m:r>
            </m:oMath>
            <w:r>
              <w:t xml:space="preserve">2.20-2.38) sits well below Street ~$2.44, and analysts have been trimming 2027-28 numbers, so implicit cuts pull estimates lower even after a beat. Premium ~high-20s forward multiple, insider selling, and reaffirm-heavy (vs. formal raise) guidance cap upside, so the initial move fades toward flat/slightly negative residual over five days.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2026-08-03T00:34:48Z</dcterms:created>
  <dcterms:modified xsi:type="dcterms:W3CDTF">2026-08-03T00:34:48Z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