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I'll research WMB (Williams Companies) to build a well-informed earnings preview. Let me start by gathering recent filings, transcripts, and news.Let me read the most recent earnings materials and the year-ago Q2 for comparison, plus recent news.Now let me gather recent news and any analyst expectations heading into the print.Let me check for analyst consensus and any recent developments via web search.Let me dig into the key developments — the consensus estimates and the $5.34B power innovation partnership.I have what I need. Let me pull the last data point on the stock and year-ago comps to frame the setup, then write the preview.I now have everything I need to write the preview.</w:t>
      </w:r>
    </w:p>
    <w:p>
      <w:r>
        <w:pict>
          <v:rect style="width:0;height:1.5pt" o:hralign="center" o:hrstd="t" o:hr="t"/>
        </w:pict>
      </w:r>
    </w:p>
    <w:bookmarkStart w:id="18" w:name="X408c891172f5e8a98dc607334b2051e693c4fe7"/>
    <w:p>
      <w:pPr>
        <w:pStyle w:val="Heading1"/>
      </w:pPr>
      <w:r>
        <w:t xml:space="preserve">Williams Companies (WMB) — Q2 2026 Earnings Preview</w:t>
      </w:r>
    </w:p>
    <w:bookmarkStart w:id="9" w:name="Xa47ac820a9b02e60c8bf985c347299f38d9ccdb"/>
    <w:p>
      <w:pPr>
        <w:pStyle w:val="Heading3"/>
      </w:pPr>
      <w:r>
        <w:t xml:space="preserve">Report date: Monday, Aug 3, 2026 (after close) | Q&amp;A call: Aug 4 | Last close (7/31): $71.56</w:t>
      </w:r>
    </w:p>
    <w:bookmarkEnd w:id="9"/>
    <w:bookmarkStart w:id="10" w:name="the-one-line-setup"/>
    <w:p>
      <w:pPr>
        <w:pStyle w:val="Heading2"/>
      </w:pPr>
      <w:r>
        <w:t xml:space="preserve">The one-line setup</w:t>
      </w:r>
    </w:p>
    <w:p>
      <w:pPr>
        <w:pStyle w:val="FirstParagraph"/>
      </w:pPr>
      <w:r>
        <w:t xml:space="preserve">Williams heads into Q2 with the single biggest overhang from the last two quarters —</w:t>
      </w:r>
      <w:r>
        <w:t xml:space="preserve"> </w:t>
      </w:r>
      <w:r>
        <w:rPr>
          <w:i/>
          <w:iCs/>
        </w:rPr>
        <w:t xml:space="preserve">how it would fund a ballooning power-innovation capex program</w:t>
      </w:r>
      <w:r>
        <w:t xml:space="preserve"> </w:t>
      </w:r>
      <w:r>
        <w:t xml:space="preserve">— already resolved via a July mega-financing. That shifts the burden of proof for this print away from the balance sheet and onto</w:t>
      </w:r>
      <w:r>
        <w:t xml:space="preserve"> </w:t>
      </w:r>
      <w:r>
        <w:rPr>
          <w:b/>
          <w:bCs/>
        </w:rPr>
        <w:t xml:space="preserve">execution, the pace of new project wins, and whether management formally tightens 2026 guidance to the upper end</w:t>
      </w:r>
      <w:r>
        <w:t xml:space="preserve">. Q2 is also seasonally WMB's weakest quarter, so a modest sequential step-down in EBITDA is</w:t>
      </w:r>
      <w:r>
        <w:t xml:space="preserve"> </w:t>
      </w:r>
      <w:r>
        <w:rPr>
          <w:i/>
          <w:iCs/>
        </w:rPr>
        <w:t xml:space="preserve">expected</w:t>
      </w:r>
      <w:r>
        <w:t xml:space="preserve">, not a red flag.</w:t>
      </w:r>
    </w:p>
    <w:p>
      <w:r>
        <w:pict>
          <v:rect style="width:0;height:1.5pt" o:hralign="center" o:hrstd="t" o:hr="t"/>
        </w:pict>
      </w:r>
    </w:p>
    <w:bookmarkEnd w:id="10"/>
    <w:bookmarkStart w:id="11" w:name="what-the-street-expects"/>
    <w:p>
      <w:pPr>
        <w:pStyle w:val="Heading2"/>
      </w:pPr>
      <w:r>
        <w:t xml:space="preserve">What the Street expects</w:t>
      </w:r>
    </w:p>
    <w:p>
      <w:pPr>
        <w:pStyle w:val="Compact"/>
        <w:numPr>
          <w:ilvl w:val="0"/>
          <w:numId w:val="1001"/>
        </w:numPr>
      </w:pPr>
      <w:r>
        <w:rPr>
          <w:b/>
          <w:bCs/>
        </w:rPr>
        <w:t xml:space="preserve">Adjusted EPS: ~$0.52</w:t>
      </w:r>
      <w:r>
        <w:t xml:space="preserve">, up ~13% vs. $0.46 in Q2 2025. Consensus was nudged ~0.7% lower over the trailing 30 days, but Zacks flags a positive Earnings ESP (~+8%), i.e., the most-accurate estimate sits above consensus — a setup that historically skews toward a beat.</w:t>
      </w:r>
    </w:p>
    <w:p>
      <w:pPr>
        <w:pStyle w:val="Compact"/>
        <w:numPr>
          <w:ilvl w:val="0"/>
          <w:numId w:val="1001"/>
        </w:numPr>
      </w:pPr>
      <w:r>
        <w:rPr>
          <w:b/>
          <w:bCs/>
        </w:rPr>
        <w:t xml:space="preserve">Revenue: ~$3.08B</w:t>
      </w:r>
      <w:r>
        <w:t xml:space="preserve">, up ~11% YoY.</w:t>
      </w:r>
    </w:p>
    <w:p>
      <w:pPr>
        <w:pStyle w:val="Compact"/>
        <w:numPr>
          <w:ilvl w:val="0"/>
          <w:numId w:val="1001"/>
        </w:numPr>
      </w:pPr>
      <w:r>
        <w:rPr>
          <w:b/>
          <w:bCs/>
        </w:rPr>
        <w:t xml:space="preserve">Implied adj. EBITDA:</w:t>
      </w:r>
      <w:r>
        <w:t xml:space="preserve"> </w:t>
      </w:r>
      <w:r>
        <w:t xml:space="preserve">roughly $2.0B+ (13% growth off last year's $1.808B seasonal trough) — down sequentially from the Q1 record of $2.254B, consistent with normal Q2 seasonality.</w:t>
      </w:r>
    </w:p>
    <w:p>
      <w:pPr>
        <w:pStyle w:val="Compact"/>
        <w:numPr>
          <w:ilvl w:val="0"/>
          <w:numId w:val="1001"/>
        </w:numPr>
      </w:pPr>
      <w:r>
        <w:rPr>
          <w:b/>
          <w:bCs/>
        </w:rPr>
        <w:t xml:space="preserve">Track record caveat:</w:t>
      </w:r>
      <w:r>
        <w:t xml:space="preserve"> </w:t>
      </w:r>
      <w:r>
        <w:t xml:space="preserve">WMB's recent beat rate is mixed (it has topped EPS in only about one of the last four quarters), so guidance/commentary may matter more than the headline.</w:t>
      </w:r>
    </w:p>
    <w:p>
      <w:pPr>
        <w:pStyle w:val="FirstParagraph"/>
      </w:pPr>
      <w:r>
        <w:rPr>
          <w:b/>
          <w:bCs/>
        </w:rPr>
        <w:t xml:space="preserve">Year-ago comp (Q2 2025):</w:t>
      </w:r>
      <w:r>
        <w:t xml:space="preserve"> </w:t>
      </w:r>
      <w:r>
        <w:t xml:space="preserve">Adj. EBITDA $1,808M, Adj. EPS</w:t>
      </w:r>
      <w:r>
        <w:t xml:space="preserve"> </w:t>
      </w:r>
      <w:r>
        <w:t xml:space="preserve">$0.46, and notably a *negative* Gas &amp; NGL Marketing (Sequent) quarter (Adj. EBITDA of –$</w:t>
      </w:r>
      <w:r>
        <w:t xml:space="preserve">15M). That soft Sequent comp is an easy YoY tailwind this quarter.</w:t>
      </w:r>
    </w:p>
    <w:p>
      <w:r>
        <w:pict>
          <v:rect style="width:0;height:1.5pt" o:hralign="center" o:hrstd="t" o:hr="t"/>
        </w:pict>
      </w:r>
    </w:p>
    <w:bookmarkEnd w:id="11"/>
    <w:bookmarkStart w:id="12" w:name="Xee5695556a713dc4aede89d437799cd87314393"/>
    <w:p>
      <w:pPr>
        <w:pStyle w:val="Heading2"/>
      </w:pPr>
      <w:r>
        <w:t xml:space="preserve">The headline story: financing is (mostly) solved</w:t>
      </w:r>
    </w:p>
    <w:p>
      <w:pPr>
        <w:pStyle w:val="FirstParagraph"/>
      </w:pPr>
      <w:r>
        <w:t xml:space="preserve">The biggest development since the Q1 call is the</w:t>
      </w:r>
      <w:r>
        <w:t xml:space="preserve"> </w:t>
      </w:r>
      <w:r>
        <w:rPr>
          <w:b/>
          <w:bCs/>
        </w:rPr>
        <w:t xml:space="preserve">$5.34B power-innovation joint venture announced July 13, 2026</w:t>
      </w:r>
      <w:r>
        <w:t xml:space="preserve">. Key terms:</w:t>
      </w:r>
    </w:p>
    <w:p>
      <w:pPr>
        <w:pStyle w:val="Compact"/>
        <w:numPr>
          <w:ilvl w:val="0"/>
          <w:numId w:val="1002"/>
        </w:numPr>
      </w:pPr>
      <w:r>
        <w:t xml:space="preserve">Led by</w:t>
      </w:r>
      <w:r>
        <w:t xml:space="preserve"> </w:t>
      </w:r>
      <w:r>
        <w:rPr>
          <w:b/>
          <w:bCs/>
        </w:rPr>
        <w:t xml:space="preserve">Blackstone Credit &amp; Insurance, with Apollo and KKR</w:t>
      </w:r>
      <w:r>
        <w:t xml:space="preserve"> </w:t>
      </w:r>
      <w:r>
        <w:t xml:space="preserve">committing</w:t>
      </w:r>
      <w:r>
        <w:t xml:space="preserve"> </w:t>
      </w:r>
      <w:r>
        <w:rPr>
          <w:b/>
          <w:bCs/>
        </w:rPr>
        <w:t xml:space="preserve">$5.34B for a 49% non-controlling stake</w:t>
      </w:r>
      <w:r>
        <w:t xml:space="preserve"> </w:t>
      </w:r>
      <w:r>
        <w:t xml:space="preserve">in the five behind-the-meter projects —</w:t>
      </w:r>
      <w:r>
        <w:t xml:space="preserve"> </w:t>
      </w:r>
      <w:r>
        <w:rPr>
          <w:b/>
          <w:bCs/>
        </w:rPr>
        <w:t xml:space="preserve">Socrates, Apollo, Aquila, Socrates the Younger, and Neo</w:t>
      </w:r>
      <w:r>
        <w:t xml:space="preserve">.</w:t>
      </w:r>
    </w:p>
    <w:p>
      <w:pPr>
        <w:pStyle w:val="Compact"/>
        <w:numPr>
          <w:ilvl w:val="0"/>
          <w:numId w:val="1002"/>
        </w:numPr>
      </w:pPr>
      <w:r>
        <w:rPr>
          <w:b/>
          <w:bCs/>
        </w:rPr>
        <w:t xml:space="preserve">Williams keeps 51%, operational/commercial control, and a repurchase option in years 7–14.</w:t>
      </w:r>
    </w:p>
    <w:p>
      <w:pPr>
        <w:pStyle w:val="Compact"/>
        <w:numPr>
          <w:ilvl w:val="0"/>
          <w:numId w:val="1002"/>
        </w:numPr>
      </w:pPr>
      <w:r>
        <w:t xml:space="preserve">It will be reported as a</w:t>
      </w:r>
      <w:r>
        <w:t xml:space="preserve"> </w:t>
      </w:r>
      <w:r>
        <w:rPr>
          <w:b/>
          <w:bCs/>
        </w:rPr>
        <w:t xml:space="preserve">non-controlling interest</w:t>
      </w:r>
      <w:r>
        <w:t xml:space="preserve">, reducing WMB's direct capital call and limiting incremental corporate borrowing — and the company</w:t>
      </w:r>
      <w:r>
        <w:t xml:space="preserve"> </w:t>
      </w:r>
      <w:r>
        <w:rPr>
          <w:b/>
          <w:bCs/>
        </w:rPr>
        <w:t xml:space="preserve">reaffirmed its 2026 outlook</w:t>
      </w:r>
      <w:r>
        <w:t xml:space="preserve"> </w:t>
      </w:r>
      <w:r>
        <w:t xml:space="preserve">(Adj. EBITDA still expected in the upper half of $8.05–8.35B; growth capex $7.0–7.6B; maintenance $850–950M).</w:t>
      </w:r>
    </w:p>
    <w:p>
      <w:pPr>
        <w:pStyle w:val="FirstParagraph"/>
      </w:pPr>
      <w:r>
        <w:t xml:space="preserve">This directly answers the question that dominated the Q1 call, where CFO John Porter repeatedly pointed to leverage running "modestly above" the 3.5–4.0x target (~4.1x for 2026) and promised financing details "in the next couple of months."</w:t>
      </w:r>
      <w:r>
        <w:t xml:space="preserve"> </w:t>
      </w:r>
      <w:r>
        <w:rPr>
          <w:b/>
          <w:bCs/>
        </w:rPr>
        <w:t xml:space="preserve">On this call, listen for:</w:t>
      </w:r>
      <w:r>
        <w:t xml:space="preserve"> </w:t>
      </w:r>
      <w:r>
        <w:t xml:space="preserve">the pro-forma leverage trajectory now that the JV is signed, whether it opens capacity to</w:t>
      </w:r>
      <w:r>
        <w:t xml:space="preserve"> </w:t>
      </w:r>
      <w:r>
        <w:rPr>
          <w:i/>
          <w:iCs/>
        </w:rPr>
        <w:t xml:space="preserve">add</w:t>
      </w:r>
      <w:r>
        <w:t xml:space="preserve"> </w:t>
      </w:r>
      <w:r>
        <w:t xml:space="preserve">projects to the 6+ GW backlog, and any read on carried-interest/economics of the structure.</w:t>
      </w:r>
    </w:p>
    <w:p>
      <w:r>
        <w:pict>
          <v:rect style="width:0;height:1.5pt" o:hralign="center" o:hrstd="t" o:hr="t"/>
        </w:pict>
      </w:r>
    </w:p>
    <w:bookmarkEnd w:id="12"/>
    <w:bookmarkStart w:id="13" w:name="guidance-the-key-catalyst"/>
    <w:p>
      <w:pPr>
        <w:pStyle w:val="Heading2"/>
      </w:pPr>
      <w:r>
        <w:t xml:space="preserve">Guidance: the key catalyst</w:t>
      </w:r>
    </w:p>
    <w:p>
      <w:pPr>
        <w:pStyle w:val="FirstParagraph"/>
      </w:pPr>
      <w:r>
        <w:t xml:space="preserve">Management has said since the Q1 print that it is "pointing toward the upper half" of the $8.05–8.35B Adjusted EBITDA range on a strong start (Q1 EBITDA +13% YoY). Watch for whether Q2 results prompt a</w:t>
      </w:r>
      <w:r>
        <w:t xml:space="preserve"> </w:t>
      </w:r>
      <w:r>
        <w:rPr>
          <w:b/>
          <w:bCs/>
        </w:rPr>
        <w:t xml:space="preserve">formal narrowing/raise</w:t>
      </w:r>
      <w:r>
        <w:t xml:space="preserve"> </w:t>
      </w:r>
      <w:r>
        <w:t xml:space="preserve">of the range. Other guideposts already set:</w:t>
      </w:r>
    </w:p>
    <w:p>
      <w:pPr>
        <w:pStyle w:val="Compact"/>
        <w:numPr>
          <w:ilvl w:val="0"/>
          <w:numId w:val="1003"/>
        </w:numPr>
      </w:pPr>
      <w:r>
        <w:t xml:space="preserve">**2026 Adj. EPS guidance</w:t>
      </w:r>
      <w:r>
        <w:t xml:space="preserve"> </w:t>
      </w:r>
      <m:oMath>
        <m:r>
          <m:t>2.20</m:t>
        </m:r>
        <m:r>
          <m:rPr>
            <m:sty m:val="p"/>
          </m:rPr>
          <m:t>–</m:t>
        </m:r>
        <m:r>
          <m:t>2.38</m:t>
        </m:r>
        <m:r>
          <m:rPr>
            <m:sty m:val="p"/>
          </m:rPr>
          <m:t>*</m:t>
        </m:r>
        <m:r>
          <m:rPr>
            <m:sty m:val="p"/>
          </m:rPr>
          <m:t>*</m:t>
        </m:r>
        <m:r>
          <m:rPr>
            <m:sty m:val="p"/>
          </m:rPr>
          <m:t>(</m:t>
        </m:r>
        <m:r>
          <m:t>S</m:t>
        </m:r>
        <m:r>
          <m:t>t</m:t>
        </m:r>
        <m:r>
          <m:t>r</m:t>
        </m:r>
        <m:r>
          <m:t>e</m:t>
        </m:r>
        <m:r>
          <m:t>e</m:t>
        </m:r>
        <m:r>
          <m:t>t</m:t>
        </m:r>
        <m:r>
          <m:t> </m:t>
        </m:r>
      </m:oMath>
      <w:r>
        <w:t xml:space="preserve">2.44–2.45, above the top end).</w:t>
      </w:r>
    </w:p>
    <w:p>
      <w:pPr>
        <w:pStyle w:val="Compact"/>
        <w:numPr>
          <w:ilvl w:val="0"/>
          <w:numId w:val="1003"/>
        </w:numPr>
      </w:pPr>
      <w:r>
        <w:rPr>
          <w:b/>
          <w:bCs/>
        </w:rPr>
        <w:t xml:space="preserve">Growth capex midpoint $7.3B</w:t>
      </w:r>
      <w:r>
        <w:t xml:space="preserve"> </w:t>
      </w:r>
      <w:r>
        <w:t xml:space="preserve">(raised at Q1 for Neo).</w:t>
      </w:r>
    </w:p>
    <w:p>
      <w:pPr>
        <w:pStyle w:val="Compact"/>
        <w:numPr>
          <w:ilvl w:val="0"/>
          <w:numId w:val="1003"/>
        </w:numPr>
      </w:pPr>
      <w:r>
        <w:rPr>
          <w:b/>
          <w:bCs/>
        </w:rPr>
        <w:t xml:space="preserve">Dividend $2.10/sh (+5% YoY)</w:t>
      </w:r>
      <w:r>
        <w:t xml:space="preserve">, with Q1 AFFO dividend coverage a healthy</w:t>
      </w:r>
      <w:r>
        <w:t xml:space="preserve"> </w:t>
      </w:r>
      <w:r>
        <w:rPr>
          <w:b/>
          <w:bCs/>
        </w:rPr>
        <w:t xml:space="preserve">2.76x</w:t>
      </w:r>
      <w:r>
        <w:t xml:space="preserve">.</w:t>
      </w:r>
    </w:p>
    <w:p>
      <w:r>
        <w:pict>
          <v:rect style="width:0;height:1.5pt" o:hralign="center" o:hrstd="t" o:hr="t"/>
        </w:pict>
      </w:r>
    </w:p>
    <w:bookmarkEnd w:id="13"/>
    <w:bookmarkStart w:id="14" w:name="segment-watch-items"/>
    <w:p>
      <w:pPr>
        <w:pStyle w:val="Heading2"/>
      </w:pPr>
      <w:r>
        <w:t xml:space="preserve">Segment watch items</w:t>
      </w:r>
    </w:p>
    <w:p>
      <w:pPr>
        <w:pStyle w:val="Compact"/>
        <w:numPr>
          <w:ilvl w:val="0"/>
          <w:numId w:val="1004"/>
        </w:numPr>
      </w:pPr>
      <w:r>
        <w:rPr>
          <w:b/>
          <w:bCs/>
        </w:rPr>
        <w:t xml:space="preserve">Transmission, Power &amp; Gulf (the growth engine):</w:t>
      </w:r>
      <w:r>
        <w:t xml:space="preserve"> </w:t>
      </w:r>
      <w:r>
        <w:t xml:space="preserve">Q1 was +17% YoY on Transco rate-case tariffs + expansions, deepwater Gulf ramp (Shenandoah, Whale, Ballymore), and storage. Look for continued Transco strength and the first commentary on</w:t>
      </w:r>
      <w:r>
        <w:t xml:space="preserve"> </w:t>
      </w:r>
      <w:r>
        <w:rPr>
          <w:b/>
          <w:bCs/>
        </w:rPr>
        <w:t xml:space="preserve">Socrates partial startup, which begins in Q3</w:t>
      </w:r>
      <w:r>
        <w:t xml:space="preserve"> </w:t>
      </w:r>
      <w:r>
        <w:t xml:space="preserve">— the near-term proof point for the whole power thesis.</w:t>
      </w:r>
    </w:p>
    <w:p>
      <w:pPr>
        <w:pStyle w:val="Compact"/>
        <w:numPr>
          <w:ilvl w:val="0"/>
          <w:numId w:val="1004"/>
        </w:numPr>
      </w:pPr>
      <w:r>
        <w:rPr>
          <w:b/>
          <w:bCs/>
        </w:rPr>
        <w:t xml:space="preserve">West:</w:t>
      </w:r>
      <w:r>
        <w:t xml:space="preserve"> </w:t>
      </w:r>
      <w:r>
        <w:t xml:space="preserve">Louisiana Energy Gateway (in service since Q3'25) plus Rimrock/Saber acquisitions have been driving ~16% growth; watch Haynesville volume commentary given sub-$3 Henry Hub but a building LNG demand pull.</w:t>
      </w:r>
    </w:p>
    <w:p>
      <w:pPr>
        <w:pStyle w:val="Compact"/>
        <w:numPr>
          <w:ilvl w:val="0"/>
          <w:numId w:val="1004"/>
        </w:numPr>
      </w:pPr>
      <w:r>
        <w:rPr>
          <w:b/>
          <w:bCs/>
        </w:rPr>
        <w:t xml:space="preserve">Gas &amp; NGL Marketing (Sequent):</w:t>
      </w:r>
      <w:r>
        <w:t xml:space="preserve"> </w:t>
      </w:r>
      <w:r>
        <w:t xml:space="preserve">Volatile and seasonally weak in Q2 — but the year-ago quarter was negative, so even a normal result is a YoY tailwind. Note ~$15M/qtr benefit from Cogentrix,</w:t>
      </w:r>
      <w:r>
        <w:t xml:space="preserve"> </w:t>
      </w:r>
      <w:r>
        <w:rPr>
          <w:b/>
          <w:bCs/>
        </w:rPr>
        <w:t xml:space="preserve">which WMB plans to divest later in 2026</w:t>
      </w:r>
      <w:r>
        <w:t xml:space="preserve">.</w:t>
      </w:r>
    </w:p>
    <w:p>
      <w:pPr>
        <w:pStyle w:val="Compact"/>
        <w:numPr>
          <w:ilvl w:val="0"/>
          <w:numId w:val="1004"/>
        </w:numPr>
      </w:pPr>
      <w:r>
        <w:rPr>
          <w:b/>
          <w:bCs/>
        </w:rPr>
        <w:t xml:space="preserve">Northeast G&amp;P:</w:t>
      </w:r>
      <w:r>
        <w:t xml:space="preserve"> </w:t>
      </w:r>
      <w:r>
        <w:t xml:space="preserve">Roughly flat lately (rich-gas growth offsetting dry-gas declines); low-volatility.</w:t>
      </w:r>
    </w:p>
    <w:bookmarkEnd w:id="14"/>
    <w:bookmarkStart w:id="15" w:name="new-project-cadence"/>
    <w:p>
      <w:pPr>
        <w:pStyle w:val="Heading2"/>
      </w:pPr>
      <w:r>
        <w:t xml:space="preserve">New-project cadence</w:t>
      </w:r>
    </w:p>
    <w:p>
      <w:pPr>
        <w:pStyle w:val="FirstParagraph"/>
      </w:pPr>
      <w:r>
        <w:t xml:space="preserve">WMB has been announcing projects faster than the market modeled — Q1 alone brought</w:t>
      </w:r>
      <w:r>
        <w:t xml:space="preserve"> </w:t>
      </w:r>
      <w:r>
        <w:rPr>
          <w:b/>
          <w:bCs/>
        </w:rPr>
        <w:t xml:space="preserve">Neo (682 MW, its largest power project), Atlas, Silver Spur, an upsized Power Express (to 750 MMcf/d), and ~700 MMcf/d of G&amp;P expansions.</w:t>
      </w:r>
      <w:r>
        <w:t xml:space="preserve"> </w:t>
      </w:r>
      <w:r>
        <w:t xml:space="preserve">Any new commercialization (power innovation #6, Constitution progress, storage sanctions, or a Woodside LNG/Louisiana update) would reinforce the "9% locked-in CAGR vs. 10%+ target" narrative management laid out. Constitution and New England remain the "herding cats" wildcard.</w:t>
      </w:r>
    </w:p>
    <w:p>
      <w:r>
        <w:pict>
          <v:rect style="width:0;height:1.5pt" o:hralign="center" o:hrstd="t" o:hr="t"/>
        </w:pict>
      </w:r>
    </w:p>
    <w:bookmarkEnd w:id="15"/>
    <w:bookmarkStart w:id="16" w:name="stock-setup--valuation"/>
    <w:p>
      <w:pPr>
        <w:pStyle w:val="Heading2"/>
      </w:pPr>
      <w:r>
        <w:t xml:space="preserve">Stock setup &amp; valuation</w:t>
      </w:r>
    </w:p>
    <w:p>
      <w:pPr>
        <w:pStyle w:val="Compact"/>
        <w:numPr>
          <w:ilvl w:val="0"/>
          <w:numId w:val="1005"/>
        </w:numPr>
      </w:pPr>
      <w:r>
        <w:rPr>
          <w:b/>
          <w:bCs/>
        </w:rPr>
        <w:t xml:space="preserve">Price action:</w:t>
      </w:r>
      <w:r>
        <w:t xml:space="preserve"> </w:t>
      </w:r>
      <w:r>
        <w:t xml:space="preserve">~</w:t>
      </w:r>
      <m:oMath>
        <m:r>
          <m:t>71.56</m:t>
        </m:r>
        <m:r>
          <m:t>l</m:t>
        </m:r>
        <m:r>
          <m:t>a</m:t>
        </m:r>
        <m:r>
          <m:t>s</m:t>
        </m:r>
        <m:r>
          <m:t>t</m:t>
        </m:r>
        <m:r>
          <m:rPr>
            <m:sty m:val="p"/>
          </m:rPr>
          <m:t>,</m:t>
        </m:r>
        <m:r>
          <m:rPr>
            <m:sty m:val="p"/>
          </m:rPr>
          <m:t>*</m:t>
        </m:r>
        <m:r>
          <m:rPr>
            <m:sty m:val="p"/>
          </m:rPr>
          <m:t>*</m:t>
        </m:r>
        <m:r>
          <m:t>u</m:t>
        </m:r>
        <m:r>
          <m:t>p</m:t>
        </m:r>
        <m:r>
          <m:t> </m:t>
        </m:r>
        <m:r>
          <m:t>19</m:t>
        </m:r>
      </m:oMath>
      <w:r>
        <w:t xml:space="preserve">79.4**; 52-week range roughly</w:t>
      </w:r>
      <w:r>
        <w:t xml:space="preserve"> </w:t>
      </w:r>
      <m:oMath>
        <m:r>
          <m:t>56.5</m:t>
        </m:r>
        <m:r>
          <m:rPr>
            <m:sty m:val="p"/>
          </m:rPr>
          <m:t>–</m:t>
        </m:r>
      </m:oMath>
      <w:r>
        <w:t xml:space="preserve">79.4. A pullback from ~</w:t>
      </w:r>
      <m:oMath>
        <m:r>
          <m:t>75</m:t>
        </m:r>
        <m:r>
          <m:t>t</m:t>
        </m:r>
        <m:r>
          <m:t>o</m:t>
        </m:r>
        <m:r>
          <m:t> </m:t>
        </m:r>
      </m:oMath>
      <w:r>
        <w:t xml:space="preserve">70 in late July into the print takes some froth off.</w:t>
      </w:r>
    </w:p>
    <w:p>
      <w:pPr>
        <w:pStyle w:val="Compact"/>
        <w:numPr>
          <w:ilvl w:val="0"/>
          <w:numId w:val="1005"/>
        </w:numPr>
      </w:pPr>
      <w:r>
        <w:rPr>
          <w:b/>
          <w:bCs/>
        </w:rPr>
        <w:t xml:space="preserve">Valuation is the bear case:</w:t>
      </w:r>
      <w:r>
        <w:t xml:space="preserve"> </w:t>
      </w:r>
      <w:r>
        <w:t xml:space="preserve">WMB trades at a premium (~30x trailing, high-20s on ~$2.44 forward EPS); one valuation model pegged it ~18% above "fair value" into the quarter, and there's been notable insider selling. The multiple leaves little room for execution slips.</w:t>
      </w:r>
    </w:p>
    <w:p>
      <w:pPr>
        <w:pStyle w:val="Compact"/>
        <w:numPr>
          <w:ilvl w:val="0"/>
          <w:numId w:val="1005"/>
        </w:numPr>
      </w:pPr>
      <w:r>
        <w:rPr>
          <w:b/>
          <w:bCs/>
        </w:rPr>
        <w:t xml:space="preserve">Sentiment:</w:t>
      </w:r>
      <w:r>
        <w:t xml:space="preserve"> </w:t>
      </w:r>
      <w:r>
        <w:t xml:space="preserve">Analyst estimate revisions have turned slightly more optimistic into the report (positive Earnings ESP), even as a couple of shops trimmed out-year (2027–28) numbers modestly.</w:t>
      </w:r>
    </w:p>
    <w:p>
      <w:r>
        <w:pict>
          <v:rect style="width:0;height:1.5pt" o:hralign="center" o:hrstd="t" o:hr="t"/>
        </w:pict>
      </w:r>
    </w:p>
    <w:bookmarkEnd w:id="16"/>
    <w:bookmarkStart w:id="17" w:name="X512c4d8d20316517804e9eabc6608d299a7e2e0"/>
    <w:p>
      <w:pPr>
        <w:pStyle w:val="Heading2"/>
      </w:pPr>
      <w:r>
        <w:t xml:space="preserve">Bottom line — what will actually move the stock</w:t>
      </w:r>
    </w:p>
    <w:p>
      <w:pPr>
        <w:pStyle w:val="Compact"/>
        <w:numPr>
          <w:ilvl w:val="0"/>
          <w:numId w:val="1006"/>
        </w:numPr>
      </w:pPr>
      <w:r>
        <w:rPr>
          <w:b/>
          <w:bCs/>
        </w:rPr>
        <w:t xml:space="preserve">Guidance language</w:t>
      </w:r>
      <w:r>
        <w:t xml:space="preserve"> </w:t>
      </w:r>
      <w:r>
        <w:t xml:space="preserve">— a formal move to the upper half (or a raise) of the EBITDA range is the most likely positive catalyst; a reaffirm-only could disappoint given the premium multiple.</w:t>
      </w:r>
    </w:p>
    <w:p>
      <w:pPr>
        <w:pStyle w:val="Compact"/>
        <w:numPr>
          <w:ilvl w:val="0"/>
          <w:numId w:val="1006"/>
        </w:numPr>
      </w:pPr>
      <w:r>
        <w:rPr>
          <w:b/>
          <w:bCs/>
        </w:rPr>
        <w:t xml:space="preserve">Leverage/financing color post-Blackstone JV</w:t>
      </w:r>
      <w:r>
        <w:t xml:space="preserve"> </w:t>
      </w:r>
      <w:r>
        <w:t xml:space="preserve">— confirmation that ~4.1x is the peak and that the JV creates room to keep adding backlog.</w:t>
      </w:r>
    </w:p>
    <w:p>
      <w:pPr>
        <w:pStyle w:val="Compact"/>
        <w:numPr>
          <w:ilvl w:val="0"/>
          <w:numId w:val="1006"/>
        </w:numPr>
      </w:pPr>
      <w:r>
        <w:rPr>
          <w:b/>
          <w:bCs/>
        </w:rPr>
        <w:t xml:space="preserve">Socrates commissioning update</w:t>
      </w:r>
      <w:r>
        <w:t xml:space="preserve"> </w:t>
      </w:r>
      <w:r>
        <w:t xml:space="preserve">— the Q3 partial startup is the near-term "show me" for the power strategy.</w:t>
      </w:r>
    </w:p>
    <w:p>
      <w:pPr>
        <w:pStyle w:val="Compact"/>
        <w:numPr>
          <w:ilvl w:val="0"/>
          <w:numId w:val="1006"/>
        </w:numPr>
      </w:pPr>
      <w:r>
        <w:rPr>
          <w:b/>
          <w:bCs/>
        </w:rPr>
        <w:t xml:space="preserve">New commercializations</w:t>
      </w:r>
      <w:r>
        <w:t xml:space="preserve"> </w:t>
      </w:r>
      <w:r>
        <w:t xml:space="preserve">— another project (or Constitution/storage/LNG progress) would extend the growth-cadence story.</w:t>
      </w:r>
    </w:p>
    <w:p>
      <w:pPr>
        <w:pStyle w:val="Compact"/>
        <w:numPr>
          <w:ilvl w:val="0"/>
          <w:numId w:val="1006"/>
        </w:numPr>
      </w:pPr>
      <w:r>
        <w:rPr>
          <w:b/>
          <w:bCs/>
        </w:rPr>
        <w:t xml:space="preserve">Sequent + gas macro</w:t>
      </w:r>
      <w:r>
        <w:t xml:space="preserve"> </w:t>
      </w:r>
      <w:r>
        <w:t xml:space="preserve">— a normalized marketing quarter laps an easy comp; watch Haynesville/LNG demand commentary given weak spot gas.</w:t>
      </w:r>
    </w:p>
    <w:p>
      <w:pPr>
        <w:pStyle w:val="FirstParagraph"/>
      </w:pPr>
      <w:r>
        <w:t xml:space="preserve">Net: the fundamentals and the funding picture are arguably the strongest they've been, but expectations and valuation are elevated — so the risk/reward hinges less on the ~$0.52 headline and more on</w:t>
      </w:r>
      <w:r>
        <w:t xml:space="preserve"> </w:t>
      </w:r>
      <w:r>
        <w:rPr>
          <w:b/>
          <w:bCs/>
        </w:rPr>
        <w:t xml:space="preserve">guidance tone and execution proof points.</w:t>
      </w:r>
    </w:p>
    <w:p>
      <w:r>
        <w:pict>
          <v:rect style="width:0;height:1.5pt" o:hralign="center" o:hrstd="t" o:hr="t"/>
        </w:pict>
      </w:r>
    </w:p>
    <w:p>
      <w:pPr>
        <w:pStyle w:val="FirstParagraph"/>
      </w:pPr>
      <w:r>
        <w:rPr>
          <w:i/>
          <w:iCs/>
        </w:rPr>
        <w:t xml:space="preserve">Note: A few third-party summaries referenced a "May 11" report date; the company/consensus and multiple sources confirm the actual Q2 2026 report is scheduled for</w:t>
      </w:r>
      <w:r>
        <w:rPr>
          <w:i/>
          <w:iCs/>
        </w:rPr>
        <w:t xml:space="preserve"> </w:t>
      </w:r>
      <w:r>
        <w:rPr>
          <w:b/>
          <w:bCs/>
          <w:i/>
          <w:iCs/>
        </w:rPr>
        <w:t xml:space="preserve">August 3, 2026</w:t>
      </w:r>
      <w:r>
        <w:rPr>
          <w:i/>
          <w:iCs/>
        </w:rPr>
        <w:t xml:space="preserve">. Figures for consensus estimates, the Blackstone JV, and valuation come from public news/analyst commentary; reported financials and guidance are from WMB's Q1 2026 earnings release and call.</w:t>
      </w:r>
    </w:p>
    <w:bookmarkEnd w:id="17"/>
    <w:bookmarkEnd w:id="18"/>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2026-08-03T00:34:48Z</dcterms:created>
  <dcterms:modified xsi:type="dcterms:W3CDTF">2026-08-03T00:34:48Z</dcterms:modified>
</cp:coreProperties>
</file>

<file path=docProps/custom.xml><?xml version="1.0" encoding="utf-8"?>
<Properties xmlns="http://schemas.openxmlformats.org/officeDocument/2006/custom-properties" xmlns:vt="http://schemas.openxmlformats.org/officeDocument/2006/docPropsVTypes"/>
</file>