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9" w:name="wmb-earnings-predictions--2026-08-03"/>
    <w:p>
      <w:pPr>
        <w:pStyle w:val="Heading1"/>
      </w:pPr>
      <w:r>
        <w:t xml:space="preserve">WMB Earnings Predictions — 2026-08-03</w:t>
      </w:r>
    </w:p>
    <w:tbl>
      <w:tblPr>
        <w:tblStyle w:val="Table"/>
        <w:tblW w:type="auto" w:w="0"/>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t xml:space="preserve">Ticker</w:t>
            </w:r>
          </w:p>
        </w:tc>
        <w:tc>
          <w:tcPr/>
          <w:p>
            <w:pPr>
              <w:pStyle w:val="Compact"/>
            </w:pPr>
            <w:r>
              <w:t xml:space="preserve">Report or Guide</w:t>
            </w:r>
          </w:p>
        </w:tc>
        <w:tc>
          <w:tcPr/>
          <w:p>
            <w:pPr>
              <w:pStyle w:val="Compact"/>
            </w:pPr>
            <w:r>
              <w:t xml:space="preserve">KPI</w:t>
            </w:r>
          </w:p>
        </w:tc>
        <w:tc>
          <w:tcPr/>
          <w:p>
            <w:pPr>
              <w:pStyle w:val="Compact"/>
            </w:pPr>
            <w:r>
              <w:t xml:space="preserve">Prediction</w:t>
            </w:r>
          </w:p>
        </w:tc>
        <w:tc>
          <w:tcPr/>
          <w:p>
            <w:pPr>
              <w:pStyle w:val="Compact"/>
            </w:pPr>
            <w:r>
              <w:t xml:space="preserve">Answer</w:t>
            </w:r>
          </w:p>
        </w:tc>
        <w:tc>
          <w:tcPr/>
          <w:p>
            <w:pPr>
              <w:pStyle w:val="Compact"/>
            </w:pPr>
            <w:r>
              <w:t xml:space="preserve">Confidence</w:t>
            </w:r>
          </w:p>
        </w:tc>
      </w:tr>
      <w:tr>
        <w:tc>
          <w:tcPr/>
          <w:p>
            <w:pPr>
              <w:pStyle w:val="Compact"/>
            </w:pPr>
            <w:r>
              <w:t xml:space="preserve">WMB</w:t>
            </w:r>
          </w:p>
        </w:tc>
        <w:tc>
          <w:tcPr/>
          <w:p>
            <w:pPr>
              <w:pStyle w:val="Compact"/>
            </w:pPr>
            <w:r>
              <w:t xml:space="preserve">Report</w:t>
            </w:r>
          </w:p>
        </w:tc>
        <w:tc>
          <w:tcPr/>
          <w:p>
            <w:pPr>
              <w:pStyle w:val="Compact"/>
            </w:pPr>
            <w:r>
              <w:t xml:space="preserve">Adjusted EBITDA (Q2 2026)</w:t>
            </w:r>
          </w:p>
        </w:tc>
        <w:tc>
          <w:tcPr/>
          <w:p>
            <w:pPr>
              <w:pStyle w:val="Compact"/>
            </w:pPr>
            <w:r>
              <w:t xml:space="preserve">BEAT</w:t>
            </w:r>
          </w:p>
        </w:tc>
        <w:tc>
          <w:tcPr/>
          <w:p>
            <w:pPr>
              <w:pStyle w:val="Compact"/>
            </w:pPr>
            <w:r>
              <w:t xml:space="preserve">pred ~$2.00B vs. cons $1.96B</w:t>
            </w:r>
          </w:p>
        </w:tc>
        <w:tc>
          <w:tcPr/>
          <w:p>
            <w:pPr>
              <w:pStyle w:val="Compact"/>
            </w:pPr>
            <w:r>
              <w:t xml:space="preserve">MEDIUM</w:t>
            </w:r>
          </w:p>
        </w:tc>
      </w:tr>
      <w:tr>
        <w:tc>
          <w:tcPr/>
          <w:p>
            <w:pPr>
              <w:pStyle w:val="Compact"/>
            </w:pPr>
            <w:r>
              <w:t xml:space="preserve">WMB</w:t>
            </w:r>
          </w:p>
        </w:tc>
        <w:tc>
          <w:tcPr/>
          <w:p>
            <w:pPr>
              <w:pStyle w:val="Compact"/>
            </w:pPr>
            <w:r>
              <w:t xml:space="preserve">Report</w:t>
            </w:r>
          </w:p>
        </w:tc>
        <w:tc>
          <w:tcPr/>
          <w:p>
            <w:pPr>
              <w:pStyle w:val="Compact"/>
            </w:pPr>
            <w:r>
              <w:t xml:space="preserve">Adjusted EPS (Q2 2026)</w:t>
            </w:r>
          </w:p>
        </w:tc>
        <w:tc>
          <w:tcPr/>
          <w:p>
            <w:pPr>
              <w:pStyle w:val="Compact"/>
            </w:pPr>
            <w:r>
              <w:t xml:space="preserve">BEAT</w:t>
            </w:r>
          </w:p>
        </w:tc>
        <w:tc>
          <w:tcPr/>
          <w:p>
            <w:pPr>
              <w:pStyle w:val="Compact"/>
            </w:pPr>
            <w:r>
              <w:t xml:space="preserve">pred ~$0.53 vs. cons $0.51</w:t>
            </w:r>
          </w:p>
        </w:tc>
        <w:tc>
          <w:tcPr/>
          <w:p>
            <w:pPr>
              <w:pStyle w:val="Compact"/>
            </w:pPr>
            <w:r>
              <w:t xml:space="preserve">MEDIUM</w:t>
            </w:r>
          </w:p>
        </w:tc>
      </w:tr>
      <w:tr>
        <w:tc>
          <w:tcPr/>
          <w:p>
            <w:pPr>
              <w:pStyle w:val="Compact"/>
            </w:pPr>
            <w:r>
              <w:t xml:space="preserve">WMB</w:t>
            </w:r>
          </w:p>
        </w:tc>
        <w:tc>
          <w:tcPr/>
          <w:p>
            <w:pPr>
              <w:pStyle w:val="Compact"/>
            </w:pPr>
            <w:r>
              <w:t xml:space="preserve">Report</w:t>
            </w:r>
          </w:p>
        </w:tc>
        <w:tc>
          <w:tcPr/>
          <w:p>
            <w:pPr>
              <w:pStyle w:val="Compact"/>
            </w:pPr>
            <w:r>
              <w:t xml:space="preserve">Net Debt/Adjusted EBITDA leverage ratio (as of Q2 2026)</w:t>
            </w:r>
          </w:p>
        </w:tc>
        <w:tc>
          <w:tcPr/>
          <w:p>
            <w:pPr>
              <w:pStyle w:val="Compact"/>
            </w:pPr>
            <w:r>
              <w:t xml:space="preserve">BEAT</w:t>
            </w:r>
          </w:p>
        </w:tc>
        <w:tc>
          <w:tcPr/>
          <w:p>
            <w:pPr>
              <w:pStyle w:val="Compact"/>
            </w:pPr>
            <w:r>
              <w:t xml:space="preserve">pred ~3.6x vs. cons ~3.8x</w:t>
            </w:r>
          </w:p>
        </w:tc>
        <w:tc>
          <w:tcPr/>
          <w:p>
            <w:pPr>
              <w:pStyle w:val="Compact"/>
            </w:pPr>
            <w:r>
              <w:t xml:space="preserve">MEDIUM</w:t>
            </w:r>
          </w:p>
        </w:tc>
      </w:tr>
      <w:tr>
        <w:tc>
          <w:tcPr/>
          <w:p>
            <w:pPr>
              <w:pStyle w:val="Compact"/>
            </w:pPr>
            <w:r>
              <w:t xml:space="preserve">WMB</w:t>
            </w:r>
          </w:p>
        </w:tc>
        <w:tc>
          <w:tcPr/>
          <w:p>
            <w:pPr>
              <w:pStyle w:val="Compact"/>
            </w:pPr>
            <w:r>
              <w:t xml:space="preserve">Guide</w:t>
            </w:r>
          </w:p>
        </w:tc>
        <w:tc>
          <w:tcPr/>
          <w:p>
            <w:pPr>
              <w:pStyle w:val="Compact"/>
            </w:pPr>
            <w:r>
              <w:t xml:space="preserve">FY2026 Adjusted EBITDA guidance range/point</w:t>
            </w:r>
          </w:p>
        </w:tc>
        <w:tc>
          <w:tcPr/>
          <w:p>
            <w:pPr>
              <w:pStyle w:val="Compact"/>
            </w:pPr>
            <w:r>
              <w:t xml:space="preserve">BETTER</w:t>
            </w:r>
          </w:p>
        </w:tc>
        <w:tc>
          <w:tcPr/>
          <w:p>
            <w:pPr>
              <w:pStyle w:val="Compact"/>
            </w:pPr>
            <w:r>
              <w:t xml:space="preserve">guide ~</w:t>
            </w:r>
            <m:oMath>
              <m:r>
                <m:t>8.35</m:t>
              </m:r>
              <m:r>
                <m:t>B</m:t>
              </m:r>
              <m:r>
                <m:rPr>
                  <m:sty m:val="p"/>
                </m:rPr>
                <m:t>(</m:t>
              </m:r>
              <m:r>
                <m:t>u</m:t>
              </m:r>
              <m:r>
                <m:t>p</m:t>
              </m:r>
              <m:r>
                <m:t>p</m:t>
              </m:r>
              <m:r>
                <m:t>e</m:t>
              </m:r>
              <m:r>
                <m:t>r</m:t>
              </m:r>
              <m:r>
                <m:t>h</m:t>
              </m:r>
              <m:r>
                <m:t>a</m:t>
              </m:r>
              <m:r>
                <m:t>l</m:t>
              </m:r>
              <m:r>
                <m:t>f</m:t>
              </m:r>
              <m:r>
                <m:t>r</m:t>
              </m:r>
              <m:r>
                <m:t>e</m:t>
              </m:r>
              <m:r>
                <m:t>a</m:t>
              </m:r>
              <m:r>
                <m:t>f</m:t>
              </m:r>
              <m:r>
                <m:t>f</m:t>
              </m:r>
              <m:r>
                <m:t>i</m:t>
              </m:r>
              <m:r>
                <m:t>r</m:t>
              </m:r>
              <m:r>
                <m:t>m</m:t>
              </m:r>
              <m:r>
                <m:t>e</m:t>
              </m:r>
              <m:r>
                <m:t>d</m:t>
              </m:r>
              <m:r>
                <m:rPr>
                  <m:sty m:val="p"/>
                </m:rPr>
                <m:t>)</m:t>
              </m:r>
              <m:r>
                <m:t>v</m:t>
              </m:r>
              <m:r>
                <m:t>s</m:t>
              </m:r>
              <m:r>
                <m:rPr>
                  <m:sty m:val="p"/>
                </m:rPr>
                <m:t>.</m:t>
              </m:r>
              <m:r>
                <m:t>c</m:t>
              </m:r>
              <m:r>
                <m:t>o</m:t>
              </m:r>
              <m:r>
                <m:t>n</m:t>
              </m:r>
              <m:r>
                <m:t>s</m:t>
              </m:r>
              <m:r>
                <m:t> </m:t>
              </m:r>
            </m:oMath>
            <w:r>
              <w:t xml:space="preserve">8.24B (FY2026)</w:t>
            </w:r>
          </w:p>
        </w:tc>
        <w:tc>
          <w:tcPr/>
          <w:p>
            <w:pPr>
              <w:pStyle w:val="Compact"/>
            </w:pPr>
            <w:r>
              <w:t xml:space="preserve">MEDIUM</w:t>
            </w:r>
          </w:p>
        </w:tc>
      </w:tr>
      <w:tr>
        <w:tc>
          <w:tcPr/>
          <w:p>
            <w:pPr>
              <w:pStyle w:val="Compact"/>
            </w:pPr>
            <w:r>
              <w:t xml:space="preserve">WMB</w:t>
            </w:r>
          </w:p>
        </w:tc>
        <w:tc>
          <w:tcPr/>
          <w:p>
            <w:pPr>
              <w:pStyle w:val="Compact"/>
            </w:pPr>
            <w:r>
              <w:t xml:space="preserve">Guide</w:t>
            </w:r>
          </w:p>
        </w:tc>
        <w:tc>
          <w:tcPr/>
          <w:p>
            <w:pPr>
              <w:pStyle w:val="Compact"/>
            </w:pPr>
            <w:r>
              <w:t xml:space="preserve">FY2026 year-end leverage ratio guidance</w:t>
            </w:r>
          </w:p>
        </w:tc>
        <w:tc>
          <w:tcPr/>
          <w:p>
            <w:pPr>
              <w:pStyle w:val="Compact"/>
            </w:pPr>
            <w:r>
              <w:t xml:space="preserve">BETTER</w:t>
            </w:r>
          </w:p>
        </w:tc>
        <w:tc>
          <w:tcPr/>
          <w:p>
            <w:pPr>
              <w:pStyle w:val="Compact"/>
            </w:pPr>
            <w:r>
              <w:t xml:space="preserve">guide ~3.6x vs. cons/prior guide 4.1x (FY2026)</w:t>
            </w:r>
          </w:p>
        </w:tc>
        <w:tc>
          <w:tcPr/>
          <w:p>
            <w:pPr>
              <w:pStyle w:val="Compact"/>
            </w:pPr>
            <w:r>
              <w:t xml:space="preserve">HIGH</w:t>
            </w:r>
          </w:p>
        </w:tc>
      </w:tr>
      <w:tr>
        <w:tc>
          <w:tcPr/>
          <w:p>
            <w:pPr>
              <w:pStyle w:val="Compact"/>
            </w:pPr>
            <w:r>
              <w:t xml:space="preserve">WMB</w:t>
            </w:r>
          </w:p>
        </w:tc>
        <w:tc>
          <w:tcPr/>
          <w:p>
            <w:pPr>
              <w:pStyle w:val="Compact"/>
            </w:pPr>
            <w:r>
              <w:t xml:space="preserve">Guide</w:t>
            </w:r>
          </w:p>
        </w:tc>
        <w:tc>
          <w:tcPr/>
          <w:p>
            <w:pPr>
              <w:pStyle w:val="Compact"/>
            </w:pPr>
            <w:r>
              <w:t xml:space="preserve">FY2026 growth capex guidance</w:t>
            </w:r>
          </w:p>
        </w:tc>
        <w:tc>
          <w:tcPr/>
          <w:p>
            <w:pPr>
              <w:pStyle w:val="Compact"/>
            </w:pPr>
            <w:r>
              <w:t xml:space="preserve">UNCHANGED</w:t>
            </w:r>
          </w:p>
        </w:tc>
        <w:tc>
          <w:tcPr/>
          <w:p>
            <w:pPr>
              <w:pStyle w:val="Compact"/>
            </w:pPr>
            <w:r>
              <w:t xml:space="preserve">guide ~$7.3B vs. cons $7.3B (FY2026, within $7.0-7.6B range)</w:t>
            </w:r>
          </w:p>
        </w:tc>
        <w:tc>
          <w:tcPr/>
          <w:p>
            <w:pPr>
              <w:pStyle w:val="Compact"/>
            </w:pPr>
            <w:r>
              <w:t xml:space="preserve">MEDIUM</w:t>
            </w:r>
          </w:p>
        </w:tc>
      </w:tr>
      <w:tr>
        <w:tc>
          <w:tcPr/>
          <w:p>
            <w:pPr>
              <w:pStyle w:val="Compact"/>
            </w:pPr>
            <w:r>
              <w:t xml:space="preserve">WMB</w:t>
            </w:r>
          </w:p>
        </w:tc>
        <w:tc>
          <w:tcPr/>
          <w:p>
            <w:pPr>
              <w:pStyle w:val="Compact"/>
            </w:pPr>
            <w:r>
              <w:t xml:space="preserve">Guide</w:t>
            </w:r>
          </w:p>
        </w:tc>
        <w:tc>
          <w:tcPr/>
          <w:p>
            <w:pPr>
              <w:pStyle w:val="Compact"/>
            </w:pPr>
            <w:r>
              <w:t xml:space="preserve">Contracted backlog EBITDA/EPS CAGR (long-term growth framework)</w:t>
            </w:r>
          </w:p>
        </w:tc>
        <w:tc>
          <w:tcPr/>
          <w:p>
            <w:pPr>
              <w:pStyle w:val="Compact"/>
            </w:pPr>
            <w:r>
              <w:t xml:space="preserve">BETTER</w:t>
            </w:r>
          </w:p>
        </w:tc>
        <w:tc>
          <w:tcPr/>
          <w:p>
            <w:pPr>
              <w:pStyle w:val="Compact"/>
            </w:pPr>
            <w:r>
              <w:t xml:space="preserve">guide ~9% CAGR vs. cons/prior ~8% (multi-year framework)</w:t>
            </w:r>
          </w:p>
        </w:tc>
        <w:tc>
          <w:tcPr/>
          <w:p>
            <w:pPr>
              <w:pStyle w:val="Compact"/>
            </w:pPr>
            <w:r>
              <w:t xml:space="preserve">MEDIUM</w:t>
            </w:r>
          </w:p>
        </w:tc>
      </w:tr>
      <w:tr>
        <w:tc>
          <w:tcPr/>
          <w:p>
            <w:pPr>
              <w:pStyle w:val="Compact"/>
            </w:pPr>
            <w:r>
              <w:t xml:space="preserve">WMB</w:t>
            </w:r>
          </w:p>
        </w:tc>
        <w:tc>
          <w:tcPr/>
          <w:p>
            <w:pPr>
              <w:pStyle w:val="Compact"/>
            </w:pPr>
            <w:r>
              <w:t xml:space="preserve">Return</w:t>
            </w:r>
          </w:p>
        </w:tc>
        <w:tc>
          <w:tcPr/>
          <w:p>
            <w:pPr>
              <w:pStyle w:val="Compact"/>
            </w:pPr>
            <w:r>
              <w:t xml:space="preserve">Day-1 residual (stock − beta × S&amp;P 500)</w:t>
            </w:r>
          </w:p>
        </w:tc>
        <w:tc>
          <w:tcPr/>
          <w:p>
            <w:pPr>
              <w:pStyle w:val="Compact"/>
            </w:pPr>
            <w:r>
              <w:t xml:space="preserve">+1.2%</w:t>
            </w:r>
          </w:p>
        </w:tc>
        <w:tc>
          <w:tcPr/>
          <w:p>
            <w:pPr>
              <w:pStyle w:val="Compact"/>
            </w:pPr>
            <w:r>
              <w:t xml:space="preserve">—</w:t>
            </w:r>
          </w:p>
        </w:tc>
        <w:tc>
          <w:tcPr/>
          <w:p>
            <w:pPr>
              <w:pStyle w:val="Compact"/>
            </w:pPr>
            <w:r>
              <w:t xml:space="preserve">MEDIUM</w:t>
            </w:r>
          </w:p>
        </w:tc>
      </w:tr>
      <w:tr>
        <w:tc>
          <w:tcPr/>
          <w:p>
            <w:pPr>
              <w:pStyle w:val="Compact"/>
            </w:pPr>
            <w:r>
              <w:t xml:space="preserve">WMB</w:t>
            </w:r>
          </w:p>
        </w:tc>
        <w:tc>
          <w:tcPr/>
          <w:p>
            <w:pPr>
              <w:pStyle w:val="Compact"/>
            </w:pPr>
            <w:r>
              <w:t xml:space="preserve">Return</w:t>
            </w:r>
          </w:p>
        </w:tc>
        <w:tc>
          <w:tcPr/>
          <w:p>
            <w:pPr>
              <w:pStyle w:val="Compact"/>
            </w:pPr>
            <w:r>
              <w:t xml:space="preserve">5-day cumulative residual</w:t>
            </w:r>
          </w:p>
        </w:tc>
        <w:tc>
          <w:tcPr/>
          <w:p>
            <w:pPr>
              <w:pStyle w:val="Compact"/>
            </w:pPr>
            <w:r>
              <w:t xml:space="preserve">+0.4% (FADE)</w:t>
            </w:r>
          </w:p>
        </w:tc>
        <w:tc>
          <w:tcPr/>
          <w:p>
            <w:pPr>
              <w:pStyle w:val="Compact"/>
            </w:pPr>
            <w:r>
              <w:t xml:space="preserve">Q2 beat is expected but was pre-conditioned as seasonally soft, and the Blackstone/Apollo/KKR JV (49% NCI dilution on the 5 Power Innovation projects) starts flowing through consolidated financials, adding a noncontrolling-interest drag on net income/EPS in out-quarters even as EBITDA growth continues — analysts likely trim FY27/28 EPS accretion assumptions to reflect NCI dilution and financing costs, capping the initial pop. With FY26 EBITDA guidance merely reaffirmed (not raised) and the real swing factor (Socrates ramp) still ahead in Q3/Q4, the 'sell the pre-announced good news' dynamic plus modest forward EPS model cuts likely fade an initial positive reaction over the week.</w:t>
            </w:r>
          </w:p>
        </w:tc>
        <w:tc>
          <w:tcPr/>
          <w:p>
            <w:pPr>
              <w:pStyle w:val="Compact"/>
            </w:pPr>
            <w:r>
              <w:t xml:space="preserve">MEDIUM</w:t>
            </w:r>
          </w:p>
        </w:tc>
      </w:tr>
    </w:tbl>
    <w:bookmarkEnd w:id="9"/>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2026-08-03T00:33:10Z</dcterms:created>
  <dcterms:modified xsi:type="dcterms:W3CDTF">2026-08-03T00:33:10Z</dcterms:modified>
</cp:coreProperties>
</file>

<file path=docProps/custom.xml><?xml version="1.0" encoding="utf-8"?>
<Properties xmlns="http://schemas.openxmlformats.org/officeDocument/2006/custom-properties" xmlns:vt="http://schemas.openxmlformats.org/officeDocument/2006/docPropsVTypes"/>
</file>