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Very important - the JV financing announcement for power innovation projects. Let me read that 8-K and the press release.# Williams Companies (WMB) — Q2 2026 Earnings Preview</w:t>
      </w:r>
    </w:p>
    <w:p>
      <w:pPr>
        <w:pStyle w:val="BodyText"/>
      </w:pPr>
      <w:r>
        <w:rPr>
          <w:b/>
          <w:bCs/>
        </w:rPr>
        <w:t xml:space="preserve">Report date:</w:t>
      </w:r>
      <w:r>
        <w:t xml:space="preserve"> </w:t>
      </w:r>
      <w:r>
        <w:t xml:space="preserve">Monday, Aug. 3, 2026 (after market close) |</w:t>
      </w:r>
      <w:r>
        <w:t xml:space="preserve"> </w:t>
      </w:r>
      <w:r>
        <w:rPr>
          <w:b/>
          <w:bCs/>
        </w:rPr>
        <w:t xml:space="preserve">Call:</w:t>
      </w:r>
      <w:r>
        <w:t xml:space="preserve"> </w:t>
      </w:r>
      <w:r>
        <w:t xml:space="preserve">Tuesday, Aug. 4, 9:30 a.m. ET</w:t>
      </w:r>
      <w:r>
        <w:t xml:space="preserve"> </w:t>
      </w:r>
      <w:r>
        <w:rPr>
          <w:b/>
          <w:bCs/>
        </w:rPr>
        <w:t xml:space="preserve">Current stock price:</w:t>
      </w:r>
      <w:r>
        <w:t xml:space="preserve"> </w:t>
      </w:r>
      <w:r>
        <w:t xml:space="preserve">~</w:t>
      </w:r>
      <m:oMath>
        <m:r>
          <m:t>71.56</m:t>
        </m:r>
        <m:r>
          <m:rPr>
            <m:sty m:val="p"/>
          </m:rPr>
          <m:t>(</m:t>
        </m:r>
        <m:r>
          <m:t>7</m:t>
        </m:r>
        <m:r>
          <m:rPr>
            <m:sty m:val="p"/>
          </m:rPr>
          <m:t>/</m:t>
        </m:r>
        <m:r>
          <m:t>31</m:t>
        </m:r>
        <m:r>
          <m:rPr>
            <m:sty m:val="p"/>
          </m:rPr>
          <m:t>/</m:t>
        </m:r>
        <m:r>
          <m:t>26</m:t>
        </m:r>
        <m:r>
          <m:rPr>
            <m:sty m:val="p"/>
          </m:rPr>
          <m:t>)</m:t>
        </m:r>
        <m:r>
          <m:rPr>
            <m:sty m:val="p"/>
          </m:rPr>
          <m:t>,</m:t>
        </m:r>
        <m:r>
          <m:t>d</m:t>
        </m:r>
        <m:r>
          <m:t>o</m:t>
        </m:r>
        <m:r>
          <m:t>w</m:t>
        </m:r>
        <m:r>
          <m:t>n</m:t>
        </m:r>
        <m:r>
          <m:t>f</m:t>
        </m:r>
        <m:r>
          <m:t>r</m:t>
        </m:r>
        <m:r>
          <m:t>o</m:t>
        </m:r>
        <m:r>
          <m:t>m</m:t>
        </m:r>
        <m:r>
          <m:t>a</m:t>
        </m:r>
        <m:r>
          <m:t>2026</m:t>
        </m:r>
        <m:r>
          <m:t>h</m:t>
        </m:r>
        <m:r>
          <m:t>i</m:t>
        </m:r>
        <m:r>
          <m:t>g</m:t>
        </m:r>
        <m:r>
          <m:t>h</m:t>
        </m:r>
        <m:r>
          <m:t>o</m:t>
        </m:r>
        <m:r>
          <m:t>f</m:t>
        </m:r>
        <m:r>
          <m:t> </m:t>
        </m:r>
      </m:oMath>
      <w:r>
        <w:t xml:space="preserve">79.40 (5/19/26) but up roughly 18% year-to-date from the ~$60.85 close on 1/2/26</w:t>
      </w:r>
    </w:p>
    <w:bookmarkStart w:id="9" w:name="setting-the-stage-a-strong-first-half"/>
    <w:p>
      <w:pPr>
        <w:pStyle w:val="Heading2"/>
      </w:pPr>
      <w:r>
        <w:t xml:space="preserve">Setting the stage: a strong first half</w:t>
      </w:r>
    </w:p>
    <w:p>
      <w:pPr>
        <w:pStyle w:val="FirstParagraph"/>
      </w:pPr>
      <w:r>
        <w:t xml:space="preserve">Williams enters this print coming off a record first quarter. First quarter earnings per share grew by 22% and adjusted EBITDA grew 13% to a record $2.25 billion. Growth was broad-based: Transco grew about 10% year-over-year, driven by higher tariff rates following last year's rate case settlement as well as the effects of numerous expansion projects, while the Deepwater Gulf businesses grew more than 60%, and natural gas storage businesses grew 35%.</w:t>
      </w:r>
    </w:p>
    <w:p>
      <w:pPr>
        <w:pStyle w:val="BodyText"/>
      </w:pPr>
      <w:r>
        <w:t xml:space="preserve">Management used the momentum to raise the bar for the full year, noting the company is "currently pointing toward the upper half of our full year EBITDA guidance." That guidance calls for full-year 2026 Adjusted EBITDA of between $8.05 billion and $8.35 billion, with growth capex guided to between $7 billion and $7.6 billion and maintenance capex between $850 million and $950 million.</w:t>
      </w:r>
    </w:p>
    <w:bookmarkEnd w:id="9"/>
    <w:bookmarkStart w:id="10" w:name="Xfeb3badd87dccc0a8179a838262fe1aa92706a4"/>
    <w:p>
      <w:pPr>
        <w:pStyle w:val="Heading2"/>
      </w:pPr>
      <w:r>
        <w:t xml:space="preserve">The big development since Q1: the Blackstone/Apollo/KKR power JV</w:t>
      </w:r>
    </w:p>
    <w:p>
      <w:pPr>
        <w:pStyle w:val="FirstParagraph"/>
      </w:pPr>
      <w:r>
        <w:t xml:space="preserve">The most important news for investors to digest heading into Q2 results is the</w:t>
      </w:r>
      <w:r>
        <w:t xml:space="preserve"> </w:t>
      </w:r>
      <w:r>
        <w:rPr>
          <w:b/>
          <w:bCs/>
        </w:rPr>
        <w:t xml:space="preserve">$5.34 billion power innovation joint venture</w:t>
      </w:r>
      <w:r>
        <w:t xml:space="preserve"> </w:t>
      </w:r>
      <w:r>
        <w:t xml:space="preserve">announced July 13. Williams signed an agreement led by funds managed by Blackstone Credit &amp; Insurance, in partnership with Apollo and insurance vehicles and accounts managed by KKR, to support the development of its five announced behind-the-meter Power Innovation projects: Socrates, Apollo, Aquila, Socrates the Younger, and Neo. Under the terms, Blackstone and its partners will provide Williams with $5.34 billion of committed capital in exchange for a 49% noncontrolling equity interest in the five Power Innovation projects... Williams will retain a 51% interest in the projects and will maintain commercial and operational control.</w:t>
      </w:r>
    </w:p>
    <w:p>
      <w:pPr>
        <w:pStyle w:val="BodyText"/>
      </w:pPr>
      <w:r>
        <w:t xml:space="preserve">This directly addresses the leverage overhang flagged on the Q1 call. As part of that announcement, Williams' updated leverage ratio midpoint for 2026 is now approximately 3.6x, down materially from the 4.1x midpoint the company had guided to just after Q1 (when leverage moved modestly above our target range of 3.5 to 4x to 4.1x following the addition of the Neo project). Notably, EBITDA and EPS guidance were left untouched — the company continues to expect 2026 Adjusted EBITDA in the upper half of its $8.05 billion and $8.35 billion range... All other per-share guidance ranges remain unchanged. Watch for commentary on how this JV is now being consolidated/reported and whether management signals additional capital-partner deals for newer projects (Atlas, Silver Spur, etc.) not covered by this transaction.</w:t>
      </w:r>
    </w:p>
    <w:bookmarkEnd w:id="10"/>
    <w:bookmarkStart w:id="11" w:name="what-to-expect-in-the-q2-print-itself"/>
    <w:p>
      <w:pPr>
        <w:pStyle w:val="Heading2"/>
      </w:pPr>
      <w:r>
        <w:t xml:space="preserve">What to expect in the Q2 print itself</w:t>
      </w:r>
    </w:p>
    <w:p>
      <w:pPr>
        <w:pStyle w:val="FirstParagraph"/>
      </w:pPr>
      <w:r>
        <w:t xml:space="preserve">Consensus estimates have been mixed/shifting into the print, but generally point to continued double-digit-ish EPS growth:</w:t>
      </w:r>
    </w:p>
    <w:p>
      <w:pPr>
        <w:pStyle w:val="Compact"/>
        <w:numPr>
          <w:ilvl w:val="0"/>
          <w:numId w:val="1001"/>
        </w:numPr>
      </w:pPr>
      <w:r>
        <w:t xml:space="preserve">Wall Street consensus adjusted EPS is roughly</w:t>
      </w:r>
      <w:r>
        <w:t xml:space="preserve"> </w:t>
      </w:r>
      <m:oMath>
        <m:r>
          <m:t>0.50</m:t>
        </m:r>
        <m:r>
          <m:rPr>
            <m:sty m:val="p"/>
          </m:rPr>
          <m:t>–</m:t>
        </m:r>
      </m:oMath>
      <w:r>
        <w:rPr>
          <w:b/>
          <w:bCs/>
        </w:rPr>
        <w:t xml:space="preserve">0.52</w:t>
      </w:r>
      <w:r>
        <w:t xml:space="preserve"> </w:t>
      </w:r>
      <w:r>
        <w:t xml:space="preserve">versus</w:t>
      </w:r>
      <w:r>
        <w:t xml:space="preserve"> </w:t>
      </w:r>
      <m:oMath>
        <m:r>
          <m:t>0.46</m:t>
        </m:r>
        <m:r>
          <m:rPr>
            <m:sty m:val="p"/>
          </m:rPr>
          <m:t>*</m:t>
        </m:r>
        <m:r>
          <m:rPr>
            <m:sty m:val="p"/>
          </m:rPr>
          <m:t>*</m:t>
        </m:r>
        <m:r>
          <m:t>i</m:t>
        </m:r>
        <m:r>
          <m:t>n</m:t>
        </m:r>
        <m:r>
          <m:t>Q</m:t>
        </m:r>
        <m:r>
          <m:t>2</m:t>
        </m:r>
        <m:r>
          <m:t>2025</m:t>
        </m:r>
        <m:r>
          <m:rPr>
            <m:sty m:val="p"/>
          </m:rPr>
          <m:t>(</m:t>
        </m:r>
        <m:r>
          <m:t>r</m:t>
        </m:r>
        <m:r>
          <m:t>o</m:t>
        </m:r>
        <m:r>
          <m:t>u</m:t>
        </m:r>
        <m:r>
          <m:t>g</m:t>
        </m:r>
        <m:r>
          <m:t>h</m:t>
        </m:r>
        <m:r>
          <m:t>l</m:t>
        </m:r>
        <m:r>
          <m:t>y</m:t>
        </m:r>
        <m:r>
          <m:t>9</m:t>
        </m:r>
        <m:r>
          <m:rPr>
            <m:sty m:val="p"/>
          </m:rPr>
          <m:t>–</m:t>
        </m:r>
        <m:r>
          <m:t>13</m:t>
        </m:r>
      </m:oMath>
      <w:r>
        <w:rPr>
          <w:b/>
          <w:bCs/>
        </w:rPr>
        <w:t xml:space="preserve">2.8 billion to $3.1 billion</w:t>
      </w:r>
      <w:r>
        <w:t xml:space="preserve">.</w:t>
      </w:r>
    </w:p>
    <w:p>
      <w:pPr>
        <w:pStyle w:val="Compact"/>
        <w:numPr>
          <w:ilvl w:val="0"/>
          <w:numId w:val="1001"/>
        </w:numPr>
      </w:pPr>
      <w:r>
        <w:t xml:space="preserve">Full-year 2026 consensus adjusted EPS sits around</w:t>
      </w:r>
      <w:r>
        <w:t xml:space="preserve"> </w:t>
      </w:r>
      <w:r>
        <w:rPr>
          <w:b/>
          <w:bCs/>
        </w:rPr>
        <w:t xml:space="preserve">$2.44</w:t>
      </w:r>
      <w:r>
        <w:t xml:space="preserve">, implying continued acceleration versus 2025's $2.10.</w:t>
      </w:r>
    </w:p>
    <w:p>
      <w:pPr>
        <w:pStyle w:val="Compact"/>
        <w:numPr>
          <w:ilvl w:val="0"/>
          <w:numId w:val="1001"/>
        </w:numPr>
      </w:pPr>
      <w:r>
        <w:t xml:space="preserve">Zacks data show WMB has beaten consensus EPS in roughly two-thirds of recent quarters, and sentiment (Earnings ESP) has been trending positive into the print.</w:t>
      </w:r>
    </w:p>
    <w:p>
      <w:pPr>
        <w:pStyle w:val="FirstParagraph"/>
      </w:pPr>
      <w:r>
        <w:t xml:space="preserve">Importantly, management explicitly pre-conditioned investors for a</w:t>
      </w:r>
      <w:r>
        <w:t xml:space="preserve"> </w:t>
      </w:r>
      <w:r>
        <w:rPr>
          <w:b/>
          <w:bCs/>
        </w:rPr>
        <w:t xml:space="preserve">seasonally softer Q2</w:t>
      </w:r>
      <w:r>
        <w:t xml:space="preserve">: 2026 is another year where we expect seasonally lower EBITDA results in 2Q before resuming sequential growth through the second half of the year, including the partial startup of the Socrates facility beginning in the third quarter. A sequential EBITDA dip versus Q1's $2.25 billion record should not be read as a deceleration in the underlying growth story — the key swing factor for 2H26 is Socrates coming online.</w:t>
      </w:r>
    </w:p>
    <w:bookmarkEnd w:id="11"/>
    <w:bookmarkStart w:id="12" w:name="Xd752ff431d060d2f1869dd944f6f8910a5006ac"/>
    <w:p>
      <w:pPr>
        <w:pStyle w:val="Heading2"/>
      </w:pPr>
      <w:r>
        <w:t xml:space="preserve">Growth backlog and project execution — the core long-term thesis</w:t>
      </w:r>
    </w:p>
    <w:p>
      <w:pPr>
        <w:pStyle w:val="FirstParagraph"/>
      </w:pPr>
      <w:r>
        <w:t xml:space="preserve">Beyond the headline numbers, the call will likely focus on backlog conversion. On the Q1 call, the CFO indicated the currently contracted backlog now supports roughly a</w:t>
      </w:r>
      <w:r>
        <w:t xml:space="preserve"> </w:t>
      </w:r>
      <w:r>
        <w:rPr>
          <w:b/>
          <w:bCs/>
        </w:rPr>
        <w:t xml:space="preserve">9% EBITDA/EPS CAGR</w:t>
      </w:r>
      <w:r>
        <w:t xml:space="preserve"> </w:t>
      </w:r>
      <w:r>
        <w:t xml:space="preserve">toward the company's 10%+ long-term target: in February, I said that our current book of contracted business supported around an 8% CAGR and I'd say with these new projects that we've announced today, that base growth rate is definitely now around 9%.</w:t>
      </w:r>
    </w:p>
    <w:p>
      <w:pPr>
        <w:pStyle w:val="BodyText"/>
      </w:pPr>
      <w:r>
        <w:t xml:space="preserve">Key items to track for updates:</w:t>
      </w:r>
    </w:p>
    <w:p>
      <w:pPr>
        <w:pStyle w:val="Compact"/>
        <w:numPr>
          <w:ilvl w:val="0"/>
          <w:numId w:val="1002"/>
        </w:numPr>
      </w:pPr>
      <w:r>
        <w:rPr>
          <w:b/>
          <w:bCs/>
        </w:rPr>
        <w:t xml:space="preserve">Power Innovation pipeline</w:t>
      </w:r>
      <w:r>
        <w:t xml:space="preserve">: Five projects now covered by the Blackstone JV (Socrates, Apollo, Aquila, Socrates the Younger, Neo), with Neo alone representing the largest power project Williams has announced to date, consisting of 682 megawatts of installed capacity, a 12.5-year contract and an in-service date in the second half of 2028. Management has pointed to a "6+ gigawatt" order-of-magnitude opportunity set, and the Blackstone release itself reiterated the platform has more than 2.6 gigawatts announced and is "scaling rapidly."</w:t>
      </w:r>
    </w:p>
    <w:p>
      <w:pPr>
        <w:pStyle w:val="Compact"/>
        <w:numPr>
          <w:ilvl w:val="0"/>
          <w:numId w:val="1002"/>
        </w:numPr>
      </w:pPr>
      <w:r>
        <w:rPr>
          <w:b/>
          <w:bCs/>
        </w:rPr>
        <w:t xml:space="preserve">Transmission expansions</w:t>
      </w:r>
      <w:r>
        <w:t xml:space="preserve">: Progress on NESE and SESE (both broke ground in Q1), Silver Spur (Northwest Pipeline, first phase of the Rockies Columbia Connector), and the upsized Power Express project (now 750 MMcf/d for Virginia data center demand).</w:t>
      </w:r>
    </w:p>
    <w:p>
      <w:pPr>
        <w:pStyle w:val="Compact"/>
        <w:numPr>
          <w:ilvl w:val="0"/>
          <w:numId w:val="1002"/>
        </w:numPr>
      </w:pPr>
      <w:r>
        <w:rPr>
          <w:b/>
          <w:bCs/>
        </w:rPr>
        <w:t xml:space="preserve">Constitution Pipeline</w:t>
      </w:r>
      <w:r>
        <w:t xml:space="preserve">: Still gated by needing to aggregate multi-state customer commitments — management called this "herding cats" given market fragmentation, versus NESE which had a single state/customer.</w:t>
      </w:r>
    </w:p>
    <w:p>
      <w:pPr>
        <w:pStyle w:val="Compact"/>
        <w:numPr>
          <w:ilvl w:val="0"/>
          <w:numId w:val="1002"/>
        </w:numPr>
      </w:pPr>
      <w:r>
        <w:rPr>
          <w:b/>
          <w:bCs/>
        </w:rPr>
        <w:t xml:space="preserve">Haynesville/LNG</w:t>
      </w:r>
      <w:r>
        <w:t xml:space="preserve">: Producer activity remains "cautious" near-term given Henry Hub sub-$3 pricing, but rig counts and DUCs are reportedly building ahead of LNG ramp (Woodside project on track for 2029 first cargo, with Williams holding 1.5 MTPA optionality).</w:t>
      </w:r>
    </w:p>
    <w:p>
      <w:pPr>
        <w:pStyle w:val="Compact"/>
        <w:numPr>
          <w:ilvl w:val="0"/>
          <w:numId w:val="1002"/>
        </w:numPr>
      </w:pPr>
      <w:r>
        <w:rPr>
          <w:b/>
          <w:bCs/>
        </w:rPr>
        <w:t xml:space="preserve">Cogentrix divestiture</w:t>
      </w:r>
      <w:r>
        <w:t xml:space="preserve">: Expected to close later in 2026 — watch for updated timing/proceeds commentary.</w:t>
      </w:r>
    </w:p>
    <w:p>
      <w:pPr>
        <w:pStyle w:val="Compact"/>
        <w:numPr>
          <w:ilvl w:val="0"/>
          <w:numId w:val="1002"/>
        </w:numPr>
      </w:pPr>
      <w:r>
        <w:rPr>
          <w:b/>
          <w:bCs/>
        </w:rPr>
        <w:t xml:space="preserve">Permitting/judicial reform</w:t>
      </w:r>
      <w:r>
        <w:t xml:space="preserve">: Political tailwind still pending in the Senate; any legislative progress could de-risk future project timelines.</w:t>
      </w:r>
    </w:p>
    <w:bookmarkEnd w:id="12"/>
    <w:bookmarkStart w:id="13" w:name="balance-sheet-dividend-and-financing"/>
    <w:p>
      <w:pPr>
        <w:pStyle w:val="Heading2"/>
      </w:pPr>
      <w:r>
        <w:t xml:space="preserve">Balance sheet, dividend, and financing</w:t>
      </w:r>
    </w:p>
    <w:p>
      <w:pPr>
        <w:pStyle w:val="Compact"/>
        <w:numPr>
          <w:ilvl w:val="0"/>
          <w:numId w:val="1003"/>
        </w:numPr>
      </w:pPr>
      <w:r>
        <w:t xml:space="preserve">Dividend was raised 5% to an annualized $2.10 for 2026, and Q1's AFFO-basis dividend coverage ratio came in strong at</w:t>
      </w:r>
      <w:r>
        <w:t xml:space="preserve"> </w:t>
      </w:r>
      <w:r>
        <w:rPr>
          <w:b/>
          <w:bCs/>
        </w:rPr>
        <w:t xml:space="preserve">2.76x</w:t>
      </w:r>
      <w:r>
        <w:t xml:space="preserve">, well above the full-year guided range of ~2.4x.</w:t>
      </w:r>
    </w:p>
    <w:p>
      <w:pPr>
        <w:pStyle w:val="Compact"/>
        <w:numPr>
          <w:ilvl w:val="0"/>
          <w:numId w:val="1003"/>
        </w:numPr>
      </w:pPr>
      <w:r>
        <w:t xml:space="preserve">Prior to the Blackstone deal, management had signaled leverage tightness was a</w:t>
      </w:r>
      <w:r>
        <w:t xml:space="preserve"> </w:t>
      </w:r>
      <w:r>
        <w:rPr>
          <w:b/>
          <w:bCs/>
        </w:rPr>
        <w:t xml:space="preserve">2026/2027 issue only</w:t>
      </w:r>
      <w:r>
        <w:t xml:space="preserve">, given the expected step-change in earnings as projects (especially Socrates) ramp in 2027-2028. The JV financing meaningfully pulls leverage back toward the 3.5–4.0x target band ahead of schedule.</w:t>
      </w:r>
    </w:p>
    <w:p>
      <w:pPr>
        <w:pStyle w:val="Compact"/>
        <w:numPr>
          <w:ilvl w:val="0"/>
          <w:numId w:val="1003"/>
        </w:numPr>
      </w:pPr>
      <w:r>
        <w:t xml:space="preserve">Two new independent directors (former EOG president Billy Helms and ArcLight co-founder Robb Turner) joined the board July 1, adding upstream/private-capital expertise relevant to Williams' growing scale and financing complexity.</w:t>
      </w:r>
    </w:p>
    <w:bookmarkEnd w:id="13"/>
    <w:bookmarkStart w:id="14" w:name="macro-backdrop"/>
    <w:p>
      <w:pPr>
        <w:pStyle w:val="Heading2"/>
      </w:pPr>
      <w:r>
        <w:t xml:space="preserve">Macro backdrop</w:t>
      </w:r>
    </w:p>
    <w:p>
      <w:pPr>
        <w:pStyle w:val="FirstParagraph"/>
      </w:pPr>
      <w:r>
        <w:t xml:space="preserve">Energy headlines into the print have centered on</w:t>
      </w:r>
      <w:r>
        <w:t xml:space="preserve"> </w:t>
      </w:r>
      <w:r>
        <w:rPr>
          <w:b/>
          <w:bCs/>
        </w:rPr>
        <w:t xml:space="preserve">geopolitical volatility</w:t>
      </w:r>
      <w:r>
        <w:t xml:space="preserve"> </w:t>
      </w:r>
      <w:r>
        <w:t xml:space="preserve">(Iran/Middle East tensions have kept oil elevated through July) rather than natural gas specifically, and Henry Hub gas has been running comfortably below</w:t>
      </w:r>
      <w:r>
        <w:t xml:space="preserve"> </w:t>
      </w:r>
      <m:oMath>
        <m:r>
          <m:t>3</m:t>
        </m:r>
        <m:r>
          <m:t>r</m:t>
        </m:r>
        <m:r>
          <m:t>e</m:t>
        </m:r>
        <m:r>
          <m:t>c</m:t>
        </m:r>
        <m:r>
          <m:t>e</m:t>
        </m:r>
        <m:r>
          <m:t>n</m:t>
        </m:r>
        <m:r>
          <m:t>t</m:t>
        </m:r>
        <m:r>
          <m:t>l</m:t>
        </m:r>
        <m:r>
          <m:t>y</m:t>
        </m:r>
        <m:r>
          <m:t>p</m:t>
        </m:r>
        <m:r>
          <m:t>e</m:t>
        </m:r>
        <m:r>
          <m:t>r</m:t>
        </m:r>
        <m:r>
          <m:t>m</m:t>
        </m:r>
        <m:r>
          <m:t>a</m:t>
        </m:r>
        <m:r>
          <m:t>n</m:t>
        </m:r>
        <m:r>
          <m:t>a</m:t>
        </m:r>
        <m:r>
          <m:t>g</m:t>
        </m:r>
        <m:r>
          <m:t>e</m:t>
        </m:r>
        <m:r>
          <m:t>m</m:t>
        </m:r>
        <m:r>
          <m:t>e</m:t>
        </m:r>
        <m:r>
          <m:t>n</m:t>
        </m:r>
        <m:sSup>
          <m:e>
            <m:r>
              <m:t>t</m:t>
            </m:r>
          </m:e>
          <m:sup>
            <m:r>
              <m:rPr>
                <m:sty m:val="p"/>
              </m:rPr>
              <m:t>′</m:t>
            </m:r>
          </m:sup>
        </m:sSup>
        <m:r>
          <m:t>s</m:t>
        </m:r>
        <m:r>
          <m:t>o</m:t>
        </m:r>
        <m:r>
          <m:t>w</m:t>
        </m:r>
        <m:r>
          <m:t>n</m:t>
        </m:r>
        <m:r>
          <m:t>Q</m:t>
        </m:r>
        <m:r>
          <m:t>1</m:t>
        </m:r>
        <m:r>
          <m:t>c</m:t>
        </m:r>
        <m:r>
          <m:t>o</m:t>
        </m:r>
        <m:r>
          <m:t>m</m:t>
        </m:r>
        <m:r>
          <m:t>m</m:t>
        </m:r>
        <m:r>
          <m:t>e</m:t>
        </m:r>
        <m:r>
          <m:t>n</m:t>
        </m:r>
        <m:r>
          <m:t>t</m:t>
        </m:r>
        <m:r>
          <m:t>a</m:t>
        </m:r>
        <m:r>
          <m:t>r</m:t>
        </m:r>
        <m:r>
          <m:t>y</m:t>
        </m:r>
        <m:r>
          <m:rPr>
            <m:sty m:val="p"/>
          </m:rPr>
          <m:t>.</m:t>
        </m:r>
        <m:r>
          <m:t>O</m:t>
        </m:r>
        <m:r>
          <m:t>n</m:t>
        </m:r>
        <m:r>
          <m:t>t</m:t>
        </m:r>
        <m:r>
          <m:t>h</m:t>
        </m:r>
        <m:r>
          <m:t>e</m:t>
        </m:r>
        <m:r>
          <m:t>d</m:t>
        </m:r>
        <m:r>
          <m:t>e</m:t>
        </m:r>
        <m:r>
          <m:t>m</m:t>
        </m:r>
        <m:r>
          <m:t>a</m:t>
        </m:r>
        <m:r>
          <m:t>n</m:t>
        </m:r>
        <m:r>
          <m:t>d</m:t>
        </m:r>
        <m:r>
          <m:t>s</m:t>
        </m:r>
        <m:r>
          <m:t>i</m:t>
        </m:r>
        <m:r>
          <m:t>d</m:t>
        </m:r>
        <m:r>
          <m:t>e</m:t>
        </m:r>
        <m:r>
          <m:rPr>
            <m:sty m:val="p"/>
          </m:rPr>
          <m:t>,</m:t>
        </m:r>
        <m:r>
          <m:t>h</m:t>
        </m:r>
        <m:r>
          <m:t>y</m:t>
        </m:r>
        <m:r>
          <m:t>p</m:t>
        </m:r>
        <m:r>
          <m:t>e</m:t>
        </m:r>
        <m:r>
          <m:t>r</m:t>
        </m:r>
        <m:r>
          <m:t>s</m:t>
        </m:r>
        <m:r>
          <m:t>c</m:t>
        </m:r>
        <m:r>
          <m:t>a</m:t>
        </m:r>
        <m:r>
          <m:t>l</m:t>
        </m:r>
        <m:r>
          <m:t>e</m:t>
        </m:r>
        <m:r>
          <m:t>r</m:t>
        </m:r>
        <m:r>
          <m:t>c</m:t>
        </m:r>
        <m:r>
          <m:t>a</m:t>
        </m:r>
        <m:r>
          <m:t>p</m:t>
        </m:r>
        <m:r>
          <m:t>e</m:t>
        </m:r>
        <m:r>
          <m:t>x</m:t>
        </m:r>
        <m:r>
          <m:t>c</m:t>
        </m:r>
        <m:r>
          <m:t>o</m:t>
        </m:r>
        <m:r>
          <m:t>m</m:t>
        </m:r>
        <m:r>
          <m:t>m</m:t>
        </m:r>
        <m:r>
          <m:t>e</m:t>
        </m:r>
        <m:r>
          <m:t>n</m:t>
        </m:r>
        <m:r>
          <m:t>t</m:t>
        </m:r>
        <m:r>
          <m:t>a</m:t>
        </m:r>
        <m:r>
          <m:t>r</m:t>
        </m:r>
        <m:r>
          <m:t>y</m:t>
        </m:r>
        <m:r>
          <m:t>f</m:t>
        </m:r>
        <m:r>
          <m:t>r</m:t>
        </m:r>
        <m:r>
          <m:t>o</m:t>
        </m:r>
        <m:r>
          <m:t>m</m:t>
        </m:r>
        <m:r>
          <m:t>M</m:t>
        </m:r>
        <m:r>
          <m:t>i</m:t>
        </m:r>
        <m:r>
          <m:t>c</m:t>
        </m:r>
        <m:r>
          <m:t>r</m:t>
        </m:r>
        <m:r>
          <m:t>o</m:t>
        </m:r>
        <m:r>
          <m:t>s</m:t>
        </m:r>
        <m:r>
          <m:t>o</m:t>
        </m:r>
        <m:r>
          <m:t>f</m:t>
        </m:r>
        <m:r>
          <m:t>t</m:t>
        </m:r>
        <m:r>
          <m:t>a</m:t>
        </m:r>
        <m:r>
          <m:t>n</m:t>
        </m:r>
        <m:r>
          <m:t>d</m:t>
        </m:r>
        <m:r>
          <m:t>A</m:t>
        </m:r>
        <m:r>
          <m:t>m</m:t>
        </m:r>
        <m:r>
          <m:t>a</m:t>
        </m:r>
        <m:r>
          <m:t>z</m:t>
        </m:r>
        <m:r>
          <m:t>o</m:t>
        </m:r>
        <m:sSup>
          <m:e>
            <m:r>
              <m:t>n</m:t>
            </m:r>
          </m:e>
          <m:sup>
            <m:r>
              <m:rPr>
                <m:sty m:val="p"/>
              </m:rPr>
              <m:t>′</m:t>
            </m:r>
          </m:sup>
        </m:sSup>
        <m:r>
          <m:t>s</m:t>
        </m:r>
        <m:r>
          <m:t>b</m:t>
        </m:r>
        <m:r>
          <m:t>l</m:t>
        </m:r>
        <m:r>
          <m:t>o</m:t>
        </m:r>
        <m:r>
          <m:t>w</m:t>
        </m:r>
        <m:r>
          <m:t>o</m:t>
        </m:r>
        <m:r>
          <m:t>u</m:t>
        </m:r>
        <m:r>
          <m:t>t</m:t>
        </m:r>
        <m:r>
          <m:t>Q</m:t>
        </m:r>
        <m:r>
          <m:t>2</m:t>
        </m:r>
        <m:r>
          <m:t>p</m:t>
        </m:r>
        <m:r>
          <m:t>r</m:t>
        </m:r>
        <m:r>
          <m:t>i</m:t>
        </m:r>
        <m:r>
          <m:t>n</m:t>
        </m:r>
        <m:r>
          <m:t>t</m:t>
        </m:r>
        <m:r>
          <m:t>s</m:t>
        </m:r>
        <m:r>
          <m:rPr>
            <m:sty m:val="p"/>
          </m:rPr>
          <m:t>(</m:t>
        </m:r>
        <m:r>
          <m:t>i</m:t>
        </m:r>
        <m:r>
          <m:t>n</m:t>
        </m:r>
        <m:r>
          <m:t>c</m:t>
        </m:r>
        <m:r>
          <m:t>l</m:t>
        </m:r>
        <m:r>
          <m:t>u</m:t>
        </m:r>
        <m:r>
          <m:t>d</m:t>
        </m:r>
        <m:r>
          <m:t>i</m:t>
        </m:r>
        <m:r>
          <m:t>n</m:t>
        </m:r>
        <m:r>
          <m:t>g</m:t>
        </m:r>
        <m:r>
          <m:t>A</m:t>
        </m:r>
        <m:r>
          <m:t>m</m:t>
        </m:r>
        <m:r>
          <m:t>a</m:t>
        </m:r>
        <m:r>
          <m:t>z</m:t>
        </m:r>
        <m:r>
          <m:t>o</m:t>
        </m:r>
        <m:r>
          <m:t>n</m:t>
        </m:r>
        <m:r>
          <m:t>l</m:t>
        </m:r>
        <m:r>
          <m:t>i</m:t>
        </m:r>
        <m:r>
          <m:t>f</m:t>
        </m:r>
        <m:r>
          <m:t>t</m:t>
        </m:r>
        <m:r>
          <m:t>i</m:t>
        </m:r>
        <m:r>
          <m:t>n</m:t>
        </m:r>
        <m:r>
          <m:t>g</m:t>
        </m:r>
        <m:r>
          <m:t>2026</m:t>
        </m:r>
        <m:r>
          <m:t>c</m:t>
        </m:r>
        <m:r>
          <m:t>a</m:t>
        </m:r>
        <m:r>
          <m:t>p</m:t>
        </m:r>
        <m:r>
          <m:t>e</m:t>
        </m:r>
        <m:r>
          <m:t>x</m:t>
        </m:r>
        <m:r>
          <m:t>g</m:t>
        </m:r>
        <m:r>
          <m:t>u</m:t>
        </m:r>
        <m:r>
          <m:t>i</m:t>
        </m:r>
        <m:r>
          <m:t>d</m:t>
        </m:r>
        <m:r>
          <m:t>a</m:t>
        </m:r>
        <m:r>
          <m:t>n</m:t>
        </m:r>
        <m:r>
          <m:t>c</m:t>
        </m:r>
        <m:r>
          <m:t>e</m:t>
        </m:r>
        <m:r>
          <m:t>t</m:t>
        </m:r>
        <m:r>
          <m:t>o</m:t>
        </m:r>
        <m:r>
          <m:t> </m:t>
        </m:r>
      </m:oMath>
      <w:r>
        <w:t xml:space="preserve">220 billion) reinforces the data-center power-demand tailwind that underpins Williams' Power Innovation growth thesis — a supportive read-through even though it's not a same-sector comp.</w:t>
      </w:r>
    </w:p>
    <w:bookmarkEnd w:id="14"/>
    <w:bookmarkStart w:id="15" w:name="bottom-line-for-investors"/>
    <w:p>
      <w:pPr>
        <w:pStyle w:val="Heading2"/>
      </w:pPr>
      <w:r>
        <w:t xml:space="preserve">Bottom line for investors</w:t>
      </w:r>
    </w:p>
    <w:p>
      <w:pPr>
        <w:pStyle w:val="FirstParagraph"/>
      </w:pPr>
      <w:r>
        <w:t xml:space="preserve">Going into Tuesday's print, the setup is constructive: Williams has already pre-announced the biggest swing factor (the Blackstone-led financing) that resolves the leverage concern raised at Q1, guidance is unchanged and still tilted to the "upper half," and the growth backlog (now framed at ~9% CAGR) keeps expanding faster than expected via Neo, Atlas, Silver Spur, and the Power Express upsize. The key things to listen for on the call are: (1) confirmation that Q2 EBITDA/EPS came in seasonally soft but in line with plan, (2) any incremental color on backlog growth beyond the five JV projects, (3) Socrates commissioning progress ahead of its Q3 partial start, and (4) whether management flags further capital-partner deals or asset sales to keep funding the now-larger ~$7.3B-plus growth capex program while holding leverage near the 3.5–4.0x target.</w:t>
      </w:r>
    </w:p>
    <w:bookmarkEnd w:id="1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2026-08-03T00:33:10Z</dcterms:created>
  <dcterms:modified xsi:type="dcterms:W3CDTF">2026-08-03T00:33:10Z</dcterms:modified>
</cp:coreProperties>
</file>

<file path=docProps/custom.xml><?xml version="1.0" encoding="utf-8"?>
<Properties xmlns="http://schemas.openxmlformats.org/officeDocument/2006/custom-properties" xmlns:vt="http://schemas.openxmlformats.org/officeDocument/2006/docPropsVTypes"/>
</file>