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mb-earnings-predictions--2026-08-03"/>
    <w:p>
      <w:pPr>
        <w:pStyle w:val="Heading1"/>
      </w:pPr>
      <w:r>
        <w:t xml:space="preserve">WMB Earnings Predictions — 2026-08-03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EBITDA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~$1.95B vs. cons $1.90B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~$0.52 vs. cons $0.50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Revenue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~$2.86B vs. cons $2.84B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Adjusted EBITDA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~$8.25B vs. cons $8.25B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Growth capex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~$7.30B vs. cons $7.30B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Debt-to-adjusted EBITDA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~3.6x vs. cons 3.6x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+1.5%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+0.7% (FADE)</w:t>
            </w:r>
          </w:p>
        </w:tc>
        <w:tc>
          <w:tcPr/>
          <w:p>
            <w:pPr>
              <w:pStyle w:val="Compact"/>
            </w:pPr>
            <w:r>
              <w:t xml:space="preserve">A projected ~</w:t>
            </w:r>
            <m:oMath>
              <m:r>
                <m:t>1.95</m:t>
              </m:r>
              <m:r>
                <m:t>B</m:t>
              </m:r>
              <m:r>
                <m:t>a</m:t>
              </m:r>
              <m:r>
                <m:t>d</m:t>
              </m:r>
              <m:r>
                <m:t>j</m:t>
              </m:r>
              <m:r>
                <m:t>u</m:t>
              </m:r>
              <m:r>
                <m:t>s</m:t>
              </m:r>
              <m:r>
                <m:t>t</m:t>
              </m:r>
              <m:r>
                <m:t>e</m:t>
              </m:r>
              <m:r>
                <m:t>d</m:t>
              </m:r>
              <m:r>
                <m:rPr>
                  <m:sty m:val="p"/>
                </m:rPr>
                <m:t>−</m:t>
              </m:r>
              <m:r>
                <m:t>E</m:t>
              </m:r>
              <m:r>
                <m:t>B</m:t>
              </m:r>
              <m:r>
                <m:t>I</m:t>
              </m:r>
              <m:r>
                <m:t>T</m:t>
              </m:r>
              <m:r>
                <m:t>D</m:t>
              </m:r>
              <m:r>
                <m:t>A</m:t>
              </m:r>
              <m:r>
                <m:t>r</m:t>
              </m:r>
              <m:r>
                <m:t>e</m:t>
              </m:r>
              <m:r>
                <m:t>s</m:t>
              </m:r>
              <m:r>
                <m:t>u</m:t>
              </m:r>
              <m:r>
                <m:t>l</m:t>
              </m:r>
              <m:r>
                <m:t>t</m:t>
              </m:r>
              <m:r>
                <m:t>v</m:t>
              </m:r>
              <m:r>
                <m:t>e</m:t>
              </m:r>
              <m:r>
                <m:t>r</m:t>
              </m:r>
              <m:r>
                <m:t>s</m:t>
              </m:r>
              <m:r>
                <m:t>u</m:t>
              </m:r>
              <m:r>
                <m:t>s</m:t>
              </m:r>
              <m:r>
                <m:t> </m:t>
              </m:r>
            </m:oMath>
            <w:r>
              <w:t xml:space="preserve">1.90B consensus should support the initial reaction, but unchanged FY2026 guidance of roughly $8.25B versus $8.25B consensus limits estimate revisions and allows part of the day-1 gain to fade.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2026-08-03T00:32:15Z</dcterms:created>
  <dcterms:modified xsi:type="dcterms:W3CDTF">2026-08-03T00:32:15Z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