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30" w:name="wmb-2q26-earnings-preview"/>
    <w:p>
      <w:pPr>
        <w:pStyle w:val="Heading1"/>
      </w:pPr>
      <w:r>
        <w:t xml:space="preserve">WMB 2Q26 Earnings Preview</w:t>
      </w:r>
    </w:p>
    <w:p>
      <w:pPr>
        <w:pStyle w:val="BlockText"/>
      </w:pPr>
      <w:r>
        <w:rPr>
          <w:b/>
          <w:bCs/>
        </w:rPr>
        <w:t xml:space="preserve">Timing clarification:</w:t>
      </w:r>
      <w:r>
        <w:t xml:space="preserve"> </w:t>
      </w:r>
      <w:r>
        <w:t xml:space="preserve">Williams is scheduled to release second-quarter results</w:t>
      </w:r>
      <w:r>
        <w:t xml:space="preserve"> </w:t>
      </w:r>
      <w:r>
        <w:rPr>
          <w:b/>
          <w:bCs/>
        </w:rPr>
        <w:t xml:space="preserve">after the market closes today, Monday, August 3, 2026</w:t>
      </w:r>
      <w:r>
        <w:t xml:space="preserve">. The earnings call is</w:t>
      </w:r>
      <w:r>
        <w:t xml:space="preserve"> </w:t>
      </w:r>
      <w:r>
        <w:rPr>
          <w:b/>
          <w:bCs/>
        </w:rPr>
        <w:t xml:space="preserve">tomorrow, Tuesday, August 4, at 9:30 a.m. ET</w:t>
      </w:r>
      <w:r>
        <w:t xml:space="preserve">. (</w:t>
      </w:r>
      <w:hyperlink r:id="rId9">
        <w:r>
          <w:rPr>
            <w:rStyle w:val="Hyperlink"/>
          </w:rPr>
          <w:t xml:space="preserve">williams.com</w:t>
        </w:r>
      </w:hyperlink>
      <w:r>
        <w:t xml:space="preserve">)</w:t>
      </w:r>
    </w:p>
    <w:bookmarkStart w:id="10" w:name="investment-view-going-into-the-print"/>
    <w:p>
      <w:pPr>
        <w:pStyle w:val="Heading2"/>
      </w:pPr>
      <w:r>
        <w:t xml:space="preserve">Investment view going into the print</w:t>
      </w:r>
    </w:p>
    <w:p>
      <w:pPr>
        <w:pStyle w:val="FirstParagraph"/>
      </w:pPr>
      <w:r>
        <w:t xml:space="preserve">This quarter is less about whether Williams can exceed a roughly</w:t>
      </w:r>
      <w:r>
        <w:t xml:space="preserve"> </w:t>
      </w:r>
      <w:r>
        <w:rPr>
          <w:b/>
          <w:bCs/>
        </w:rPr>
        <w:t xml:space="preserve">$0.50 adjusted-EPS consensus</w:t>
      </w:r>
      <w:r>
        <w:t xml:space="preserve"> </w:t>
      </w:r>
      <w:r>
        <w:t xml:space="preserve">and more about three questions:</w:t>
      </w:r>
    </w:p>
    <w:p>
      <w:pPr>
        <w:pStyle w:val="Compact"/>
        <w:numPr>
          <w:ilvl w:val="0"/>
          <w:numId w:val="1001"/>
        </w:numPr>
      </w:pPr>
      <w:r>
        <w:rPr>
          <w:b/>
          <w:bCs/>
        </w:rPr>
        <w:t xml:space="preserve">How much of the exceptional first-quarter performance was seasonal?</w:t>
      </w:r>
    </w:p>
    <w:p>
      <w:pPr>
        <w:pStyle w:val="Compact"/>
        <w:numPr>
          <w:ilvl w:val="0"/>
          <w:numId w:val="1001"/>
        </w:numPr>
      </w:pPr>
      <w:r>
        <w:rPr>
          <w:b/>
          <w:bCs/>
        </w:rPr>
        <w:t xml:space="preserve">Does management remain firmly on track for the upper half of 2026 EBITDA guidance?</w:t>
      </w:r>
    </w:p>
    <w:p>
      <w:pPr>
        <w:pStyle w:val="Compact"/>
        <w:numPr>
          <w:ilvl w:val="0"/>
          <w:numId w:val="1001"/>
        </w:numPr>
      </w:pPr>
      <w:r>
        <w:rPr>
          <w:b/>
          <w:bCs/>
        </w:rPr>
        <w:t xml:space="preserve">How does the new Power Innovation joint venture change Williams’ growth capacity, leverage and per-share economics?</w:t>
      </w:r>
    </w:p>
    <w:p>
      <w:pPr>
        <w:pStyle w:val="FirstParagraph"/>
      </w:pPr>
      <w:r>
        <w:t xml:space="preserve">The core pipeline and gathering businesses should deliver year-over-year growth, but sequential results will almost certainly fall from the first quarter because winter-related storage and marketing contributions are fading. A clean result around</w:t>
      </w:r>
      <w:r>
        <w:t xml:space="preserve"> </w:t>
      </w:r>
      <w:r>
        <w:rPr>
          <w:b/>
          <w:bCs/>
        </w:rPr>
        <w:t xml:space="preserve">$1.9 billion of adjusted EBITDA</w:t>
      </w:r>
      <w:r>
        <w:t xml:space="preserve">, accompanied by confident guidance and project execution, would likely be more important than a small EPS beat.</w:t>
      </w:r>
    </w:p>
    <w:bookmarkEnd w:id="10"/>
    <w:bookmarkStart w:id="12" w:name="consensus-and-comparison-points"/>
    <w:p>
      <w:pPr>
        <w:pStyle w:val="Heading2"/>
      </w:pPr>
      <w:r>
        <w:t xml:space="preserve">Consensus and comparison points</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Metric</w:t>
            </w:r>
          </w:p>
        </w:tc>
        <w:tc>
          <w:tcPr/>
          <w:p>
            <w:pPr>
              <w:pStyle w:val="Compact"/>
              <w:jc w:val="right"/>
            </w:pPr>
            <w:r>
              <w:t xml:space="preserve">2Q26 expectation/bar</w:t>
            </w:r>
          </w:p>
        </w:tc>
        <w:tc>
          <w:tcPr/>
          <w:p>
            <w:pPr>
              <w:pStyle w:val="Compact"/>
              <w:jc w:val="right"/>
            </w:pPr>
            <w:r>
              <w:t xml:space="preserve">1Q26 actual</w:t>
            </w:r>
          </w:p>
        </w:tc>
        <w:tc>
          <w:tcPr/>
          <w:p>
            <w:pPr>
              <w:pStyle w:val="Compact"/>
              <w:jc w:val="right"/>
            </w:pPr>
            <w:r>
              <w:t xml:space="preserve">2Q25 actual</w:t>
            </w:r>
          </w:p>
        </w:tc>
      </w:tr>
      <w:tr>
        <w:tc>
          <w:tcPr/>
          <w:p>
            <w:pPr>
              <w:pStyle w:val="Compact"/>
            </w:pPr>
            <w:r>
              <w:t xml:space="preserve">Adjusted EPS</w:t>
            </w:r>
          </w:p>
        </w:tc>
        <w:tc>
          <w:tcPr/>
          <w:p>
            <w:pPr>
              <w:pStyle w:val="Compact"/>
              <w:jc w:val="right"/>
            </w:pPr>
            <w:r>
              <w:t xml:space="preserve">Approximately</w:t>
            </w:r>
            <w:r>
              <w:t xml:space="preserve"> </w:t>
            </w:r>
            <m:oMath>
              <m:r>
                <m:t>0.50</m:t>
              </m:r>
              <m:r>
                <m:rPr>
                  <m:sty m:val="p"/>
                </m:rPr>
                <m:t>–</m:t>
              </m:r>
            </m:oMath>
            <w:r>
              <w:rPr>
                <w:b/>
                <w:bCs/>
              </w:rPr>
              <w:t xml:space="preserve">0.51</w:t>
            </w:r>
          </w:p>
        </w:tc>
        <w:tc>
          <w:tcPr/>
          <w:p>
            <w:pPr>
              <w:pStyle w:val="Compact"/>
              <w:jc w:val="right"/>
            </w:pPr>
            <w:r>
              <w:t xml:space="preserve">$0.73</w:t>
            </w:r>
          </w:p>
        </w:tc>
        <w:tc>
          <w:tcPr/>
          <w:p>
            <w:pPr>
              <w:pStyle w:val="Compact"/>
              <w:jc w:val="right"/>
            </w:pPr>
            <w:r>
              <w:t xml:space="preserve">$0.46</w:t>
            </w:r>
          </w:p>
        </w:tc>
      </w:tr>
      <w:tr>
        <w:tc>
          <w:tcPr/>
          <w:p>
            <w:pPr>
              <w:pStyle w:val="Compact"/>
            </w:pPr>
            <w:r>
              <w:t xml:space="preserve">Revenue</w:t>
            </w:r>
          </w:p>
        </w:tc>
        <w:tc>
          <w:tcPr/>
          <w:p>
            <w:pPr>
              <w:pStyle w:val="Compact"/>
              <w:jc w:val="right"/>
            </w:pPr>
            <w:r>
              <w:t xml:space="preserve">Approximately</w:t>
            </w:r>
            <w:r>
              <w:t xml:space="preserve"> </w:t>
            </w:r>
            <m:oMath>
              <m:r>
                <m:t>2.8</m:t>
              </m:r>
              <m:r>
                <m:rPr>
                  <m:sty m:val="p"/>
                </m:rPr>
                <m:t>–</m:t>
              </m:r>
            </m:oMath>
            <w:r>
              <w:rPr>
                <w:b/>
                <w:bCs/>
              </w:rPr>
              <w:t xml:space="preserve">2.85B</w:t>
            </w:r>
          </w:p>
        </w:tc>
        <w:tc>
          <w:tcPr/>
          <w:p>
            <w:pPr>
              <w:pStyle w:val="Compact"/>
              <w:jc w:val="right"/>
            </w:pPr>
            <w:r>
              <w:t xml:space="preserve">$3.03B</w:t>
            </w:r>
          </w:p>
        </w:tc>
        <w:tc>
          <w:tcPr/>
          <w:p>
            <w:pPr>
              <w:pStyle w:val="Compact"/>
              <w:jc w:val="right"/>
            </w:pPr>
            <w:r>
              <w:t xml:space="preserve">$2.78B</w:t>
            </w:r>
          </w:p>
        </w:tc>
      </w:tr>
      <w:tr>
        <w:tc>
          <w:tcPr/>
          <w:p>
            <w:pPr>
              <w:pStyle w:val="Compact"/>
            </w:pPr>
            <w:r>
              <w:t xml:space="preserve">Adjusted EBITDA</w:t>
            </w:r>
          </w:p>
        </w:tc>
        <w:tc>
          <w:tcPr/>
          <w:p>
            <w:pPr>
              <w:pStyle w:val="Compact"/>
              <w:jc w:val="right"/>
            </w:pPr>
            <w:r>
              <w:rPr>
                <w:b/>
                <w:bCs/>
              </w:rPr>
              <w:t xml:space="preserve">~$1.9B operating bogey</w:t>
            </w:r>
            <w:r>
              <w:t xml:space="preserve">¹</w:t>
            </w:r>
          </w:p>
        </w:tc>
        <w:tc>
          <w:tcPr/>
          <w:p>
            <w:pPr>
              <w:pStyle w:val="Compact"/>
              <w:jc w:val="right"/>
            </w:pPr>
            <w:r>
              <w:t xml:space="preserve">$2.254B</w:t>
            </w:r>
          </w:p>
        </w:tc>
        <w:tc>
          <w:tcPr/>
          <w:p>
            <w:pPr>
              <w:pStyle w:val="Compact"/>
              <w:jc w:val="right"/>
            </w:pPr>
            <w:r>
              <w:t xml:space="preserve">$1.808B</w:t>
            </w:r>
          </w:p>
        </w:tc>
      </w:tr>
      <w:tr>
        <w:tc>
          <w:tcPr/>
          <w:p>
            <w:pPr>
              <w:pStyle w:val="Compact"/>
            </w:pPr>
            <w:r>
              <w:t xml:space="preserve">Full-year adjusted EBITDA guidance</w:t>
            </w:r>
          </w:p>
        </w:tc>
        <w:tc>
          <w:tcPr/>
          <w:p>
            <w:pPr>
              <w:pStyle w:val="Compact"/>
              <w:jc w:val="right"/>
            </w:pPr>
            <w:r>
              <w:t xml:space="preserve">Upper half of</w:t>
            </w:r>
            <w:r>
              <w:t xml:space="preserve"> </w:t>
            </w:r>
            <m:oMath>
              <m:r>
                <m:t>8.05</m:t>
              </m:r>
              <m:r>
                <m:rPr>
                  <m:sty m:val="p"/>
                </m:rPr>
                <m:t>–</m:t>
              </m:r>
            </m:oMath>
            <w:r>
              <w:rPr>
                <w:b/>
                <w:bCs/>
              </w:rPr>
              <w:t xml:space="preserve">8.35B</w:t>
            </w:r>
          </w:p>
        </w:tc>
        <w:tc>
          <w:tcPr/>
          <w:p>
            <w:pPr>
              <w:pStyle w:val="Compact"/>
              <w:jc w:val="right"/>
            </w:pPr>
            <w:r>
              <w:t xml:space="preserve">—</w:t>
            </w:r>
          </w:p>
        </w:tc>
        <w:tc>
          <w:tcPr/>
          <w:p>
            <w:pPr>
              <w:pStyle w:val="Compact"/>
              <w:jc w:val="right"/>
            </w:pPr>
            <w:r>
              <w:t xml:space="preserve">—</w:t>
            </w:r>
          </w:p>
        </w:tc>
      </w:tr>
      <w:tr>
        <w:tc>
          <w:tcPr/>
          <w:p>
            <w:pPr>
              <w:pStyle w:val="Compact"/>
            </w:pPr>
            <w:r>
              <w:t xml:space="preserve">2026 growth capex</w:t>
            </w:r>
          </w:p>
        </w:tc>
        <w:tc>
          <w:tcPr/>
          <w:p>
            <w:pPr>
              <w:pStyle w:val="Compact"/>
              <w:jc w:val="right"/>
            </w:pPr>
            <m:oMath>
              <m:r>
                <m:t>7.0</m:t>
              </m:r>
              <m:r>
                <m:rPr>
                  <m:sty m:val="p"/>
                </m:rPr>
                <m:t>–</m:t>
              </m:r>
            </m:oMath>
            <w:r>
              <w:rPr>
                <w:b/>
                <w:bCs/>
              </w:rPr>
              <w:t xml:space="preserve">7.6B</w:t>
            </w:r>
          </w:p>
        </w:tc>
        <w:tc>
          <w:tcPr/>
          <w:p>
            <w:pPr>
              <w:pStyle w:val="Compact"/>
              <w:jc w:val="right"/>
            </w:pPr>
            <w:r>
              <w:t xml:space="preserve">—</w:t>
            </w:r>
          </w:p>
        </w:tc>
        <w:tc>
          <w:tcPr/>
          <w:p>
            <w:pPr>
              <w:pStyle w:val="Compact"/>
              <w:jc w:val="right"/>
            </w:pPr>
            <w:r>
              <w:t xml:space="preserve">—</w:t>
            </w:r>
          </w:p>
        </w:tc>
      </w:tr>
      <w:tr>
        <w:tc>
          <w:tcPr/>
          <w:p>
            <w:pPr>
              <w:pStyle w:val="Compact"/>
            </w:pPr>
            <w:r>
              <w:t xml:space="preserve">2026 leverage midpoint</w:t>
            </w:r>
          </w:p>
        </w:tc>
        <w:tc>
          <w:tcPr/>
          <w:p>
            <w:pPr>
              <w:pStyle w:val="Compact"/>
              <w:jc w:val="right"/>
            </w:pPr>
            <w:r>
              <w:t xml:space="preserve">Approximately</w:t>
            </w:r>
            <w:r>
              <w:t xml:space="preserve"> </w:t>
            </w:r>
            <w:r>
              <w:rPr>
                <w:b/>
                <w:bCs/>
              </w:rPr>
              <w:t xml:space="preserve">3.6x</w:t>
            </w:r>
            <w:r>
              <w:t xml:space="preserve"> </w:t>
            </w:r>
            <w:r>
              <w:t xml:space="preserve">following JV announcement</w:t>
            </w:r>
          </w:p>
        </w:tc>
        <w:tc>
          <w:tcPr/>
          <w:p>
            <w:pPr>
              <w:pStyle w:val="Compact"/>
              <w:jc w:val="right"/>
            </w:pPr>
            <w:r>
              <w:t xml:space="preserve">—</w:t>
            </w:r>
          </w:p>
        </w:tc>
        <w:tc>
          <w:tcPr/>
          <w:p>
            <w:pPr>
              <w:pStyle w:val="Compact"/>
              <w:jc w:val="right"/>
            </w:pPr>
            <w:r>
              <w:t xml:space="preserve">3.80x</w:t>
            </w:r>
          </w:p>
        </w:tc>
      </w:tr>
    </w:tbl>
    <w:p>
      <w:pPr>
        <w:pStyle w:val="BodyText"/>
      </w:pPr>
      <w:r>
        <w:t xml:space="preserve">¹The EBITDA figure is an analytical benchmark rather than a published consensus estimate. Published EPS estimates cluster around $0.50, while revenue consensus is roughly $2.84 billion. (</w:t>
      </w:r>
      <w:hyperlink r:id="rId11">
        <w:r>
          <w:rPr>
            <w:rStyle w:val="Hyperlink"/>
          </w:rPr>
          <w:t xml:space="preserve">benzinga.com</w:t>
        </w:r>
      </w:hyperlink>
      <w:r>
        <w:t xml:space="preserve">)</w:t>
      </w:r>
    </w:p>
    <w:p>
      <w:pPr>
        <w:pStyle w:val="BodyText"/>
      </w:pPr>
      <w:r>
        <w:t xml:space="preserve">Revenue is not the best measure of Williams’ underlying performance because commodity marketing and derivative presentation can create large swings.</w:t>
      </w:r>
      <w:r>
        <w:t xml:space="preserve"> </w:t>
      </w:r>
      <w:r>
        <w:rPr>
          <w:b/>
          <w:bCs/>
        </w:rPr>
        <w:t xml:space="preserve">Adjusted EBITDA, AFFO, leverage and segment-level performance should receive more weight.</w:t>
      </w:r>
    </w:p>
    <w:bookmarkEnd w:id="12"/>
    <w:bookmarkStart w:id="19" w:name="what-should-drive-the-quarter"/>
    <w:p>
      <w:pPr>
        <w:pStyle w:val="Heading2"/>
      </w:pPr>
      <w:r>
        <w:t xml:space="preserve">What should drive the quarter</w:t>
      </w:r>
    </w:p>
    <w:bookmarkStart w:id="14" w:name="Xbc196547d4fea875e757d17543af73194e163a6"/>
    <w:p>
      <w:pPr>
        <w:pStyle w:val="Heading3"/>
      </w:pPr>
      <w:r>
        <w:t xml:space="preserve">1. Transmission, Power &amp; Gulf should remain the primary growth engine</w:t>
      </w:r>
    </w:p>
    <w:p>
      <w:pPr>
        <w:pStyle w:val="FirstParagraph"/>
      </w:pPr>
      <w:r>
        <w:t xml:space="preserve">First-quarter adjusted EBITDA for this segment rose 17% year over year to $1.01 billion, benefiting from higher Transco rates and expansion projects, new Gulf volumes and stronger storage results. For the second quarter:</w:t>
      </w:r>
    </w:p>
    <w:p>
      <w:pPr>
        <w:pStyle w:val="Compact"/>
        <w:numPr>
          <w:ilvl w:val="0"/>
          <w:numId w:val="1002"/>
        </w:numPr>
      </w:pPr>
      <w:r>
        <w:t xml:space="preserve">Transco should continue benefiting from the rate-case settlement and expansion projects.</w:t>
      </w:r>
    </w:p>
    <w:p>
      <w:pPr>
        <w:pStyle w:val="Compact"/>
        <w:numPr>
          <w:ilvl w:val="0"/>
          <w:numId w:val="1002"/>
        </w:numPr>
      </w:pPr>
      <w:r>
        <w:t xml:space="preserve">Shenandoah, Whale and Ballymore should support year-over-year Gulf growth.</w:t>
      </w:r>
    </w:p>
    <w:p>
      <w:pPr>
        <w:pStyle w:val="Compact"/>
        <w:numPr>
          <w:ilvl w:val="0"/>
          <w:numId w:val="1002"/>
        </w:numPr>
      </w:pPr>
      <w:r>
        <w:t xml:space="preserve">Seasonal transportation and storage activity will likely decline from the winter-heavy first quarter.</w:t>
      </w:r>
    </w:p>
    <w:p>
      <w:pPr>
        <w:pStyle w:val="Compact"/>
        <w:numPr>
          <w:ilvl w:val="0"/>
          <w:numId w:val="1002"/>
        </w:numPr>
      </w:pPr>
      <w:r>
        <w:t xml:space="preserve">Gulf production volumes and crude transportation statistics should provide evidence that recent offshore expansions are ramping as planned.</w:t>
      </w:r>
    </w:p>
    <w:p>
      <w:pPr>
        <w:pStyle w:val="FirstParagraph"/>
      </w:pPr>
      <w:r>
        <w:t xml:space="preserve">A result comfortably above the segment’s</w:t>
      </w:r>
      <w:r>
        <w:t xml:space="preserve"> </w:t>
      </w:r>
      <w:r>
        <w:rPr>
          <w:b/>
          <w:bCs/>
        </w:rPr>
        <w:t xml:space="preserve">$903 million in 2Q25</w:t>
      </w:r>
      <w:r>
        <w:t xml:space="preserve"> </w:t>
      </w:r>
      <w:r>
        <w:t xml:space="preserve">would confirm that Williams’ contracted infrastructure growth is offsetting normal seasonality. (</w:t>
      </w:r>
      <w:hyperlink r:id="rId13">
        <w:r>
          <w:rPr>
            <w:rStyle w:val="Hyperlink"/>
          </w:rPr>
          <w:t xml:space="preserve">investor.williams.com</w:t>
        </w:r>
      </w:hyperlink>
      <w:r>
        <w:t xml:space="preserve">)</w:t>
      </w:r>
    </w:p>
    <w:bookmarkEnd w:id="14"/>
    <w:bookmarkStart w:id="15" w:name="Xfb5b4239b35e9af4e3a15f5455453f1f0ec3522"/>
    <w:p>
      <w:pPr>
        <w:pStyle w:val="Heading3"/>
      </w:pPr>
      <w:r>
        <w:t xml:space="preserve">2. The West segment may deliver the clearest year-over-year acceleration</w:t>
      </w:r>
    </w:p>
    <w:p>
      <w:pPr>
        <w:pStyle w:val="FirstParagraph"/>
      </w:pPr>
      <w:r>
        <w:t xml:space="preserve">The West business should benefit from:</w:t>
      </w:r>
    </w:p>
    <w:p>
      <w:pPr>
        <w:pStyle w:val="Compact"/>
        <w:numPr>
          <w:ilvl w:val="0"/>
          <w:numId w:val="1003"/>
        </w:numPr>
      </w:pPr>
      <w:r>
        <w:t xml:space="preserve">A full contribution from Louisiana Energy Gateway.</w:t>
      </w:r>
    </w:p>
    <w:p>
      <w:pPr>
        <w:pStyle w:val="Compact"/>
        <w:numPr>
          <w:ilvl w:val="0"/>
          <w:numId w:val="1003"/>
        </w:numPr>
      </w:pPr>
      <w:r>
        <w:t xml:space="preserve">The Rimrock and Saber acquisitions.</w:t>
      </w:r>
    </w:p>
    <w:p>
      <w:pPr>
        <w:pStyle w:val="Compact"/>
        <w:numPr>
          <w:ilvl w:val="0"/>
          <w:numId w:val="1003"/>
        </w:numPr>
      </w:pPr>
      <w:r>
        <w:t xml:space="preserve">Haynesville gathering expansions.</w:t>
      </w:r>
    </w:p>
    <w:p>
      <w:pPr>
        <w:pStyle w:val="Compact"/>
        <w:numPr>
          <w:ilvl w:val="0"/>
          <w:numId w:val="1003"/>
        </w:numPr>
      </w:pPr>
      <w:r>
        <w:t xml:space="preserve">Higher underlying gathering volumes, partially offset by declining minimum-volume commitments in certain areas.</w:t>
      </w:r>
    </w:p>
    <w:p>
      <w:pPr>
        <w:pStyle w:val="FirstParagraph"/>
      </w:pPr>
      <w:r>
        <w:t xml:space="preserve">The important read-through is not simply current Haynesville drilling activity, but whether customers are preparing production for the expected LNG-demand ramp. In the first quarter, West adjusted EBITDA was</w:t>
      </w:r>
      <w:r>
        <w:t xml:space="preserve"> </w:t>
      </w:r>
      <w:r>
        <w:rPr>
          <w:b/>
          <w:bCs/>
        </w:rPr>
        <w:t xml:space="preserve">$410 million</w:t>
      </w:r>
      <w:r>
        <w:t xml:space="preserve">, up from $354 million a year earlier; maintaining strong growth despite softer near-term gas prices would be constructive. (</w:t>
      </w:r>
      <w:hyperlink r:id="rId13">
        <w:r>
          <w:rPr>
            <w:rStyle w:val="Hyperlink"/>
          </w:rPr>
          <w:t xml:space="preserve">investor.williams.com</w:t>
        </w:r>
      </w:hyperlink>
      <w:r>
        <w:t xml:space="preserve">)</w:t>
      </w:r>
    </w:p>
    <w:bookmarkEnd w:id="15"/>
    <w:bookmarkStart w:id="16" w:name="Xc60f2bfb8389aef5f6e3ba9e0b90067cfc20936"/>
    <w:p>
      <w:pPr>
        <w:pStyle w:val="Heading3"/>
      </w:pPr>
      <w:r>
        <w:t xml:space="preserve">3. Northeast G&amp;P remains steady but mixed</w:t>
      </w:r>
    </w:p>
    <w:p>
      <w:pPr>
        <w:pStyle w:val="FirstParagraph"/>
      </w:pPr>
      <w:r>
        <w:t xml:space="preserve">Northeast G&amp;P is likely to remain Williams’ most stable segment. Rich-gas activity at Ohio Valley Midstream and improved Bradford gathering should help, while Susquehanna and other dry-gas areas may remain softer.</w:t>
      </w:r>
    </w:p>
    <w:p>
      <w:pPr>
        <w:pStyle w:val="BodyText"/>
      </w:pPr>
      <w:r>
        <w:t xml:space="preserve">The segment produced</w:t>
      </w:r>
      <w:r>
        <w:t xml:space="preserve"> </w:t>
      </w:r>
      <w:r>
        <w:rPr>
          <w:b/>
          <w:bCs/>
        </w:rPr>
        <w:t xml:space="preserve">$524 million of adjusted EBITDA in 1Q26</w:t>
      </w:r>
      <w:r>
        <w:t xml:space="preserve">, versus $501 million in 2Q25. Investors should watch whether consolidated gathering volumes stabilize after falling to 4.01 Bcf/d in the first quarter, and whether nonconsolidated volumes continue growing.</w:t>
      </w:r>
    </w:p>
    <w:bookmarkEnd w:id="16"/>
    <w:bookmarkStart w:id="18" w:name="Xe205a511ca5321ab0f5e736b6f376930ed15c91"/>
    <w:p>
      <w:pPr>
        <w:pStyle w:val="Heading3"/>
      </w:pPr>
      <w:r>
        <w:t xml:space="preserve">4. Marketing is the major sequential swing factor</w:t>
      </w:r>
    </w:p>
    <w:p>
      <w:pPr>
        <w:pStyle w:val="FirstParagraph"/>
      </w:pPr>
      <w:r>
        <w:t xml:space="preserve">Gas &amp; NGL Marketing Services generated an unusually strong</w:t>
      </w:r>
      <w:r>
        <w:t xml:space="preserve"> </w:t>
      </w:r>
      <w:r>
        <w:rPr>
          <w:b/>
          <w:bCs/>
        </w:rPr>
        <w:t xml:space="preserve">$227 million of adjusted EBITDA in 1Q26</w:t>
      </w:r>
      <w:r>
        <w:t xml:space="preserve">, helped by winter volatility and strong gas-marketing margins. By comparison, the segment lost $15 million on an adjusted basis in 2Q25.</w:t>
      </w:r>
    </w:p>
    <w:p>
      <w:pPr>
        <w:pStyle w:val="BodyText"/>
      </w:pPr>
      <w:r>
        <w:t xml:space="preserve">Management had already warned that 2Q26 would be seasonally lower before growth resumed in the second half. Consequently, a large sequential decline in marketing EBITDA should not be interpreted as deterioration in the contracted infrastructure franchise. The better question is whether marketing remains profitable after the winter opportunity normalizes. (</w:t>
      </w:r>
      <w:hyperlink r:id="rId17">
        <w:r>
          <w:rPr>
            <w:rStyle w:val="Hyperlink"/>
          </w:rPr>
          <w:t xml:space="preserve">investor.williams.com</w:t>
        </w:r>
      </w:hyperlink>
      <w:r>
        <w:t xml:space="preserve">)</w:t>
      </w:r>
    </w:p>
    <w:bookmarkEnd w:id="18"/>
    <w:bookmarkEnd w:id="19"/>
    <w:bookmarkStart w:id="20" w:name="guidance-the-most-important-number"/>
    <w:p>
      <w:pPr>
        <w:pStyle w:val="Heading2"/>
      </w:pPr>
      <w:r>
        <w:t xml:space="preserve">Guidance: the most important number</w:t>
      </w:r>
    </w:p>
    <w:p>
      <w:pPr>
        <w:pStyle w:val="FirstParagraph"/>
      </w:pPr>
      <w:r>
        <w:t xml:space="preserve">Williams entered the quarter expecting 2026 adjusted EBITDA of</w:t>
      </w:r>
      <w:r>
        <w:t xml:space="preserve"> </w:t>
      </w:r>
      <m:oMath>
        <m:r>
          <m:t>8.05</m:t>
        </m:r>
        <m:r>
          <m:rPr>
            <m:sty m:val="p"/>
          </m:rPr>
          <m:t>–</m:t>
        </m:r>
      </m:oMath>
      <w:r>
        <w:rPr>
          <w:b/>
          <w:bCs/>
        </w:rPr>
        <w:t xml:space="preserve">8.35 billion</w:t>
      </w:r>
      <w:r>
        <w:t xml:space="preserve"> </w:t>
      </w:r>
      <w:r>
        <w:t xml:space="preserve">and subsequently said results should land in the</w:t>
      </w:r>
      <w:r>
        <w:t xml:space="preserve"> </w:t>
      </w:r>
      <w:r>
        <w:rPr>
          <w:b/>
          <w:bCs/>
        </w:rPr>
        <w:t xml:space="preserve">upper half</w:t>
      </w:r>
      <w:r>
        <w:t xml:space="preserve">, implying at least approximately $8.2 billion. First-quarter adjusted EBITDA of $2.254 billion already represented a strong start. (</w:t>
      </w:r>
      <w:hyperlink r:id="rId13">
        <w:r>
          <w:rPr>
            <w:rStyle w:val="Hyperlink"/>
          </w:rPr>
          <w:t xml:space="preserve">investor.williams.com</w:t>
        </w:r>
      </w:hyperlink>
      <w:r>
        <w:t xml:space="preserve">)</w:t>
      </w:r>
    </w:p>
    <w:p>
      <w:pPr>
        <w:pStyle w:val="BodyText"/>
      </w:pPr>
      <w:r>
        <w:t xml:space="preserve">If 2Q EBITDA is approximately</w:t>
      </w:r>
      <w:r>
        <w:t xml:space="preserve"> </w:t>
      </w:r>
      <m:oMath>
        <m:r>
          <m:t>1.9</m:t>
        </m:r>
        <m:r>
          <m:t>b</m:t>
        </m:r>
        <m:r>
          <m:t>i</m:t>
        </m:r>
        <m:r>
          <m:t>l</m:t>
        </m:r>
        <m:r>
          <m:t>l</m:t>
        </m:r>
        <m:r>
          <m:t>i</m:t>
        </m:r>
        <m:r>
          <m:t>o</m:t>
        </m:r>
        <m:r>
          <m:t>n</m:t>
        </m:r>
        <m:r>
          <m:rPr>
            <m:sty m:val="p"/>
          </m:rPr>
          <m:t>,</m:t>
        </m:r>
        <m:r>
          <m:t>W</m:t>
        </m:r>
        <m:r>
          <m:t>i</m:t>
        </m:r>
        <m:r>
          <m:t>l</m:t>
        </m:r>
        <m:r>
          <m:t>l</m:t>
        </m:r>
        <m:r>
          <m:t>i</m:t>
        </m:r>
        <m:r>
          <m:t>a</m:t>
        </m:r>
        <m:r>
          <m:t>m</m:t>
        </m:r>
        <m:r>
          <m:t>s</m:t>
        </m:r>
        <m:r>
          <m:t>w</m:t>
        </m:r>
        <m:r>
          <m:t>o</m:t>
        </m:r>
        <m:r>
          <m:t>u</m:t>
        </m:r>
        <m:r>
          <m:t>l</m:t>
        </m:r>
        <m:r>
          <m:t>d</m:t>
        </m:r>
        <m:r>
          <m:t>e</m:t>
        </m:r>
        <m:r>
          <m:t>x</m:t>
        </m:r>
        <m:r>
          <m:t>i</m:t>
        </m:r>
        <m:r>
          <m:t>t</m:t>
        </m:r>
        <m:r>
          <m:t>t</m:t>
        </m:r>
        <m:r>
          <m:t>h</m:t>
        </m:r>
        <m:r>
          <m:t>e</m:t>
        </m:r>
        <m:r>
          <m:t>f</m:t>
        </m:r>
        <m:r>
          <m:t>i</m:t>
        </m:r>
        <m:r>
          <m:t>r</m:t>
        </m:r>
        <m:r>
          <m:t>s</m:t>
        </m:r>
        <m:r>
          <m:t>t</m:t>
        </m:r>
        <m:r>
          <m:t>h</m:t>
        </m:r>
        <m:r>
          <m:t>a</m:t>
        </m:r>
        <m:r>
          <m:t>l</m:t>
        </m:r>
        <m:r>
          <m:t>f</m:t>
        </m:r>
        <m:r>
          <m:t>a</m:t>
        </m:r>
        <m:r>
          <m:t>t</m:t>
        </m:r>
        <m:r>
          <m:t>r</m:t>
        </m:r>
        <m:r>
          <m:t>o</m:t>
        </m:r>
        <m:r>
          <m:t>u</m:t>
        </m:r>
        <m:r>
          <m:t>g</m:t>
        </m:r>
        <m:r>
          <m:t>h</m:t>
        </m:r>
        <m:r>
          <m:t>l</m:t>
        </m:r>
        <m:r>
          <m:t>y</m:t>
        </m:r>
        <m:r>
          <m:rPr>
            <m:sty m:val="p"/>
          </m:rPr>
          <m:t>*</m:t>
        </m:r>
        <m:r>
          <m:rPr>
            <m:sty m:val="p"/>
          </m:rPr>
          <m:t>*</m:t>
        </m:r>
      </m:oMath>
      <w:r>
        <w:t xml:space="preserve">4.15 billion**. It would then need approximately:</w:t>
      </w:r>
    </w:p>
    <w:p>
      <w:pPr>
        <w:pStyle w:val="Compact"/>
        <w:numPr>
          <w:ilvl w:val="0"/>
          <w:numId w:val="1004"/>
        </w:numPr>
      </w:pPr>
      <w:r>
        <w:rPr>
          <w:b/>
          <w:bCs/>
        </w:rPr>
        <w:t xml:space="preserve">$4.05 billion</w:t>
      </w:r>
      <w:r>
        <w:t xml:space="preserve"> </w:t>
      </w:r>
      <w:r>
        <w:t xml:space="preserve">in second-half EBITDA to reach $8.2 billion.</w:t>
      </w:r>
    </w:p>
    <w:p>
      <w:pPr>
        <w:pStyle w:val="Compact"/>
        <w:numPr>
          <w:ilvl w:val="0"/>
          <w:numId w:val="1004"/>
        </w:numPr>
      </w:pPr>
      <w:r>
        <w:rPr>
          <w:b/>
          <w:bCs/>
        </w:rPr>
        <w:t xml:space="preserve">$4.20 billion</w:t>
      </w:r>
      <w:r>
        <w:t xml:space="preserve"> </w:t>
      </w:r>
      <w:r>
        <w:t xml:space="preserve">to reach the $8.35 billion high end.</w:t>
      </w:r>
    </w:p>
    <w:p>
      <w:pPr>
        <w:pStyle w:val="FirstParagraph"/>
      </w:pPr>
      <w:r>
        <w:t xml:space="preserve">That appears achievable if Socrates begins partial operations in the third quarter and the core transmission, Gulf and gathering businesses continue growing. Given that Williams reaffirmed its outlook on July 13, a formal guidance increase is not necessary for a satisfactory report. More important will be management’s confidence in the quarterly cadence and whether the high end is increasingly plausible.</w:t>
      </w:r>
    </w:p>
    <w:bookmarkEnd w:id="20"/>
    <w:bookmarkStart w:id="22" w:name="X79688cce58a5f15f277c3a40ff3d0981bd0cbc5"/>
    <w:p>
      <w:pPr>
        <w:pStyle w:val="Heading2"/>
      </w:pPr>
      <w:r>
        <w:t xml:space="preserve">The Blackstone JV changes the balance-sheet discussion</w:t>
      </w:r>
    </w:p>
    <w:p>
      <w:pPr>
        <w:pStyle w:val="FirstParagraph"/>
      </w:pPr>
      <w:r>
        <w:t xml:space="preserve">On July 13, Williams announced that Blackstone, Apollo and KKR would commit</w:t>
      </w:r>
      <w:r>
        <w:t xml:space="preserve"> </w:t>
      </w:r>
      <w:r>
        <w:rPr>
          <w:b/>
          <w:bCs/>
        </w:rPr>
        <w:t xml:space="preserve">$5.34 billion</w:t>
      </w:r>
      <w:r>
        <w:t xml:space="preserve"> </w:t>
      </w:r>
      <w:r>
        <w:t xml:space="preserve">for a 49% noncontrolling interest in five Power Innovation projects. Williams retains 51%, commercial and operational control, and a future buyout right. The investment includes $4.4 billion toward project capital and roughly $0.9 billion of additional consideration. Williams also lowered its expected 2026 leverage midpoint from approximately 4.1x to</w:t>
      </w:r>
      <w:r>
        <w:t xml:space="preserve"> </w:t>
      </w:r>
      <w:r>
        <w:rPr>
          <w:b/>
          <w:bCs/>
        </w:rPr>
        <w:t xml:space="preserve">3.6x</w:t>
      </w:r>
      <w:r>
        <w:t xml:space="preserve"> </w:t>
      </w:r>
      <w:r>
        <w:t xml:space="preserve">while maintaining its existing EBITDA and capex guidance. (</w:t>
      </w:r>
      <w:hyperlink r:id="rId21">
        <w:r>
          <w:rPr>
            <w:rStyle w:val="Hyperlink"/>
          </w:rPr>
          <w:t xml:space="preserve">williams.com</w:t>
        </w:r>
      </w:hyperlink>
      <w:r>
        <w:t xml:space="preserve">)</w:t>
      </w:r>
    </w:p>
    <w:p>
      <w:pPr>
        <w:pStyle w:val="BodyText"/>
      </w:pPr>
      <w:r>
        <w:t xml:space="preserve">The call should clarify:</w:t>
      </w:r>
    </w:p>
    <w:p>
      <w:pPr>
        <w:pStyle w:val="Compact"/>
        <w:numPr>
          <w:ilvl w:val="0"/>
          <w:numId w:val="1005"/>
        </w:numPr>
      </w:pPr>
      <w:r>
        <w:t xml:space="preserve">Closing status and timing of the transaction.</w:t>
      </w:r>
    </w:p>
    <w:p>
      <w:pPr>
        <w:pStyle w:val="Compact"/>
        <w:numPr>
          <w:ilvl w:val="0"/>
          <w:numId w:val="1005"/>
        </w:numPr>
      </w:pPr>
      <w:r>
        <w:t xml:space="preserve">Timing of partner contributions and the additional consideration.</w:t>
      </w:r>
    </w:p>
    <w:p>
      <w:pPr>
        <w:pStyle w:val="Compact"/>
        <w:numPr>
          <w:ilvl w:val="0"/>
          <w:numId w:val="1005"/>
        </w:numPr>
      </w:pPr>
      <w:r>
        <w:t xml:space="preserve">How noncontrolling-interest distributions will affect AFFO and per-share growth.</w:t>
      </w:r>
    </w:p>
    <w:p>
      <w:pPr>
        <w:pStyle w:val="Compact"/>
        <w:numPr>
          <w:ilvl w:val="0"/>
          <w:numId w:val="1005"/>
        </w:numPr>
      </w:pPr>
      <w:r>
        <w:t xml:space="preserve">Whether Williams will recycle the freed-up capital into additional Power Innovation projects.</w:t>
      </w:r>
    </w:p>
    <w:p>
      <w:pPr>
        <w:pStyle w:val="Compact"/>
        <w:numPr>
          <w:ilvl w:val="0"/>
          <w:numId w:val="1005"/>
        </w:numPr>
      </w:pPr>
      <w:r>
        <w:t xml:space="preserve">Whether 2026 reported capex will remain unchanged even as Williams’ economic funding burden falls.</w:t>
      </w:r>
    </w:p>
    <w:p>
      <w:pPr>
        <w:pStyle w:val="Compact"/>
        <w:numPr>
          <w:ilvl w:val="0"/>
          <w:numId w:val="1005"/>
        </w:numPr>
      </w:pPr>
      <w:r>
        <w:t xml:space="preserve">How much capacity the JV creates for the</w:t>
      </w:r>
      <w:r>
        <w:t xml:space="preserve"> </w:t>
      </w:r>
      <w:r>
        <w:rPr>
          <w:b/>
          <w:bCs/>
        </w:rPr>
        <w:t xml:space="preserve">6+ GW development backlog</w:t>
      </w:r>
      <w:r>
        <w:t xml:space="preserve">.</w:t>
      </w:r>
    </w:p>
    <w:p>
      <w:pPr>
        <w:pStyle w:val="FirstParagraph"/>
      </w:pPr>
      <w:r>
        <w:t xml:space="preserve">This financing largely resolves the immediate concern that rapid power-project spending would force Williams to choose between growth, leverage discipline and dividend growth. The new risk is that management uses the balance-sheet capacity to sanction projects faster than it can execute them.</w:t>
      </w:r>
    </w:p>
    <w:bookmarkEnd w:id="22"/>
    <w:bookmarkStart w:id="23" w:name="project-milestones-to-watch"/>
    <w:p>
      <w:pPr>
        <w:pStyle w:val="Heading2"/>
      </w:pPr>
      <w:r>
        <w:t xml:space="preserve">Project milestones to watch</w:t>
      </w:r>
    </w:p>
    <w:p>
      <w:pPr>
        <w:pStyle w:val="FirstParagraph"/>
      </w:pPr>
      <w:r>
        <w:t xml:space="preserve">The market is increasingly valuing WMB on its ability to become a broader natural-gas and power-infrastructure growth platform. Investors should therefore listen for updates on:</w:t>
      </w:r>
    </w:p>
    <w:p>
      <w:pPr>
        <w:pStyle w:val="Compact"/>
        <w:numPr>
          <w:ilvl w:val="0"/>
          <w:numId w:val="1006"/>
        </w:numPr>
      </w:pPr>
      <w:r>
        <w:rPr>
          <w:b/>
          <w:bCs/>
        </w:rPr>
        <w:t xml:space="preserve">Socrates:</w:t>
      </w:r>
      <w:r>
        <w:t xml:space="preserve"> </w:t>
      </w:r>
      <w:r>
        <w:t xml:space="preserve">partial startup remains expected in 3Q26.</w:t>
      </w:r>
    </w:p>
    <w:p>
      <w:pPr>
        <w:pStyle w:val="Compact"/>
        <w:numPr>
          <w:ilvl w:val="0"/>
          <w:numId w:val="1006"/>
        </w:numPr>
      </w:pPr>
      <w:r>
        <w:rPr>
          <w:b/>
          <w:bCs/>
        </w:rPr>
        <w:t xml:space="preserve">Neo:</w:t>
      </w:r>
      <w:r>
        <w:t xml:space="preserve"> </w:t>
      </w:r>
      <w:r>
        <w:t xml:space="preserve">permitting and procurement for the $2.3 billion, 682 MW project.</w:t>
      </w:r>
    </w:p>
    <w:p>
      <w:pPr>
        <w:pStyle w:val="Compact"/>
        <w:numPr>
          <w:ilvl w:val="0"/>
          <w:numId w:val="1006"/>
        </w:numPr>
      </w:pPr>
      <w:r>
        <w:rPr>
          <w:b/>
          <w:bCs/>
        </w:rPr>
        <w:t xml:space="preserve">Apollo, Aquila and Socrates the Younger:</w:t>
      </w:r>
      <w:r>
        <w:t xml:space="preserve"> </w:t>
      </w:r>
      <w:r>
        <w:t xml:space="preserve">cost, schedule and turbine availability.</w:t>
      </w:r>
    </w:p>
    <w:p>
      <w:pPr>
        <w:pStyle w:val="Compact"/>
        <w:numPr>
          <w:ilvl w:val="0"/>
          <w:numId w:val="1006"/>
        </w:numPr>
      </w:pPr>
      <w:r>
        <w:rPr>
          <w:b/>
          <w:bCs/>
        </w:rPr>
        <w:t xml:space="preserve">NESE and SESE:</w:t>
      </w:r>
      <w:r>
        <w:t xml:space="preserve"> </w:t>
      </w:r>
      <w:r>
        <w:t xml:space="preserve">construction progress, permitting and cost inflation.</w:t>
      </w:r>
    </w:p>
    <w:p>
      <w:pPr>
        <w:pStyle w:val="Compact"/>
        <w:numPr>
          <w:ilvl w:val="0"/>
          <w:numId w:val="1006"/>
        </w:numPr>
      </w:pPr>
      <w:r>
        <w:rPr>
          <w:b/>
          <w:bCs/>
        </w:rPr>
        <w:t xml:space="preserve">Atlas:</w:t>
      </w:r>
      <w:r>
        <w:t xml:space="preserve"> </w:t>
      </w:r>
      <w:r>
        <w:t xml:space="preserve">targeted year-end 2026 service.</w:t>
      </w:r>
    </w:p>
    <w:p>
      <w:pPr>
        <w:pStyle w:val="Compact"/>
        <w:numPr>
          <w:ilvl w:val="0"/>
          <w:numId w:val="1006"/>
        </w:numPr>
      </w:pPr>
      <w:r>
        <w:rPr>
          <w:b/>
          <w:bCs/>
        </w:rPr>
        <w:t xml:space="preserve">Power Express:</w:t>
      </w:r>
      <w:r>
        <w:t xml:space="preserve"> </w:t>
      </w:r>
      <w:r>
        <w:t xml:space="preserve">execution following the increase to 750 MMcf/d.</w:t>
      </w:r>
    </w:p>
    <w:p>
      <w:pPr>
        <w:pStyle w:val="Compact"/>
        <w:numPr>
          <w:ilvl w:val="0"/>
          <w:numId w:val="1006"/>
        </w:numPr>
      </w:pPr>
      <w:r>
        <w:rPr>
          <w:b/>
          <w:bCs/>
        </w:rPr>
        <w:t xml:space="preserve">Silver Spur:</w:t>
      </w:r>
      <w:r>
        <w:t xml:space="preserve"> </w:t>
      </w:r>
      <w:r>
        <w:t xml:space="preserve">customer commitments and prospects for a second Northwest Pipeline expansion phase.</w:t>
      </w:r>
    </w:p>
    <w:p>
      <w:pPr>
        <w:pStyle w:val="FirstParagraph"/>
      </w:pPr>
      <w:r>
        <w:t xml:space="preserve">The strongest qualitative outcome would be on-time execution without another material increase in near-term corporate capital needs.</w:t>
      </w:r>
    </w:p>
    <w:bookmarkEnd w:id="23"/>
    <w:bookmarkStart w:id="24" w:name="valuation-raises-the-execution-bar"/>
    <w:p>
      <w:pPr>
        <w:pStyle w:val="Heading2"/>
      </w:pPr>
      <w:r>
        <w:t xml:space="preserve">Valuation raises the execution bar</w:t>
      </w:r>
    </w:p>
    <w:p>
      <w:pPr>
        <w:pStyle w:val="FirstParagraph"/>
      </w:pPr>
      <w:r>
        <w:t xml:space="preserve">WMB closed July 31 at</w:t>
      </w:r>
      <w:r>
        <w:t xml:space="preserve"> </w:t>
      </w:r>
      <w:r>
        <w:rPr>
          <w:b/>
          <w:bCs/>
        </w:rPr>
        <w:t xml:space="preserve">$71.56</w:t>
      </w:r>
      <w:r>
        <w:t xml:space="preserve">, approximately 19% above its August 1, 2025 price. At that price, the $2.10 annualized dividend yields roughly</w:t>
      </w:r>
      <w:r>
        <w:t xml:space="preserve"> </w:t>
      </w:r>
      <w:r>
        <w:rPr>
          <w:b/>
          <w:bCs/>
        </w:rPr>
        <w:t xml:space="preserve">2.9%</w:t>
      </w:r>
      <w:r>
        <w:t xml:space="preserve">. A simple calculation using first-quarter debt and cash values the company near</w:t>
      </w:r>
      <w:r>
        <w:t xml:space="preserve"> </w:t>
      </w:r>
      <w:r>
        <w:rPr>
          <w:b/>
          <w:bCs/>
        </w:rPr>
        <w:t xml:space="preserve">14x 2026 EBITDA guidance</w:t>
      </w:r>
      <w:r>
        <w:t xml:space="preserve">, before fully incorporating the new JV’s accounting effects.</w:t>
      </w:r>
    </w:p>
    <w:p>
      <w:pPr>
        <w:pStyle w:val="BodyText"/>
      </w:pPr>
      <w:r>
        <w:t xml:space="preserve">That is a growth-platform valuation rather than a conventional pipeline valuation. The market is therefore unlikely to reward a modest EPS beat if it comes with project delays, weaker long-term growth language or renewed leverage concerns.</w:t>
      </w:r>
    </w:p>
    <w:bookmarkEnd w:id="24"/>
    <w:bookmarkStart w:id="28" w:name="Xedeb3e8b8b6b50bd9ad09e91404d25836e6b0e2"/>
    <w:p>
      <w:pPr>
        <w:pStyle w:val="Heading2"/>
      </w:pPr>
      <w:r>
        <w:t xml:space="preserve">What would constitute a good or bad report?</w:t>
      </w:r>
    </w:p>
    <w:bookmarkStart w:id="25" w:name="bullish"/>
    <w:p>
      <w:pPr>
        <w:pStyle w:val="Heading3"/>
      </w:pPr>
      <w:r>
        <w:t xml:space="preserve">Bullish</w:t>
      </w:r>
    </w:p>
    <w:p>
      <w:pPr>
        <w:pStyle w:val="Compact"/>
        <w:numPr>
          <w:ilvl w:val="0"/>
          <w:numId w:val="1007"/>
        </w:numPr>
      </w:pPr>
      <w:r>
        <w:t xml:space="preserve">Adjusted EPS above approximately $0.51.</w:t>
      </w:r>
    </w:p>
    <w:p>
      <w:pPr>
        <w:pStyle w:val="Compact"/>
        <w:numPr>
          <w:ilvl w:val="0"/>
          <w:numId w:val="1007"/>
        </w:numPr>
      </w:pPr>
      <w:r>
        <w:t xml:space="preserve">Adjusted EBITDA near or above $1.9 billion.</w:t>
      </w:r>
    </w:p>
    <w:p>
      <w:pPr>
        <w:pStyle w:val="Compact"/>
        <w:numPr>
          <w:ilvl w:val="0"/>
          <w:numId w:val="1007"/>
        </w:numPr>
      </w:pPr>
      <w:r>
        <w:t xml:space="preserve">Transmission/Gulf and West growth comfortably offset marketing normalization.</w:t>
      </w:r>
    </w:p>
    <w:p>
      <w:pPr>
        <w:pStyle w:val="Compact"/>
        <w:numPr>
          <w:ilvl w:val="0"/>
          <w:numId w:val="1007"/>
        </w:numPr>
      </w:pPr>
      <w:r>
        <w:t xml:space="preserve">Explicit confidence in the upper half—or high end—of guidance.</w:t>
      </w:r>
    </w:p>
    <w:p>
      <w:pPr>
        <w:pStyle w:val="Compact"/>
        <w:numPr>
          <w:ilvl w:val="0"/>
          <w:numId w:val="1007"/>
        </w:numPr>
      </w:pPr>
      <w:r>
        <w:t xml:space="preserve">Socrates remains on schedule for partial 3Q startup.</w:t>
      </w:r>
    </w:p>
    <w:p>
      <w:pPr>
        <w:pStyle w:val="Compact"/>
        <w:numPr>
          <w:ilvl w:val="0"/>
          <w:numId w:val="1007"/>
        </w:numPr>
      </w:pPr>
      <w:r>
        <w:t xml:space="preserve">Clear confirmation that the JV reduces leverage without diluting the long-term growth target.</w:t>
      </w:r>
    </w:p>
    <w:p>
      <w:pPr>
        <w:pStyle w:val="Compact"/>
        <w:numPr>
          <w:ilvl w:val="0"/>
          <w:numId w:val="1007"/>
        </w:numPr>
      </w:pPr>
      <w:r>
        <w:t xml:space="preserve">Additional commercial progress in storage, pipeline or power projects.</w:t>
      </w:r>
    </w:p>
    <w:bookmarkEnd w:id="25"/>
    <w:bookmarkStart w:id="26" w:name="neutral"/>
    <w:p>
      <w:pPr>
        <w:pStyle w:val="Heading3"/>
      </w:pPr>
      <w:r>
        <w:t xml:space="preserve">Neutral</w:t>
      </w:r>
    </w:p>
    <w:p>
      <w:pPr>
        <w:pStyle w:val="Compact"/>
        <w:numPr>
          <w:ilvl w:val="0"/>
          <w:numId w:val="1008"/>
        </w:numPr>
      </w:pPr>
      <w:r>
        <w:t xml:space="preserve">EPS near $0.50 and EBITDA around</w:t>
      </w:r>
      <w:r>
        <w:t xml:space="preserve"> </w:t>
      </w:r>
      <m:oMath>
        <m:r>
          <m:t>1.85</m:t>
        </m:r>
        <m:r>
          <m:rPr>
            <m:sty m:val="p"/>
          </m:rPr>
          <m:t>–</m:t>
        </m:r>
      </m:oMath>
      <w:r>
        <w:t xml:space="preserve">1.9 billion.</w:t>
      </w:r>
    </w:p>
    <w:p>
      <w:pPr>
        <w:pStyle w:val="Compact"/>
        <w:numPr>
          <w:ilvl w:val="0"/>
          <w:numId w:val="1008"/>
        </w:numPr>
      </w:pPr>
      <w:r>
        <w:t xml:space="preserve">Guidance reiterated in the upper half.</w:t>
      </w:r>
    </w:p>
    <w:p>
      <w:pPr>
        <w:pStyle w:val="Compact"/>
        <w:numPr>
          <w:ilvl w:val="0"/>
          <w:numId w:val="1008"/>
        </w:numPr>
      </w:pPr>
      <w:r>
        <w:t xml:space="preserve">No meaningful changes to project costs or schedules.</w:t>
      </w:r>
    </w:p>
    <w:p>
      <w:pPr>
        <w:pStyle w:val="Compact"/>
        <w:numPr>
          <w:ilvl w:val="0"/>
          <w:numId w:val="1008"/>
        </w:numPr>
      </w:pPr>
      <w:r>
        <w:t xml:space="preserve">Marketing declines sharply but core fee-based segments remain healthy.</w:t>
      </w:r>
    </w:p>
    <w:bookmarkEnd w:id="26"/>
    <w:bookmarkStart w:id="27" w:name="bearish"/>
    <w:p>
      <w:pPr>
        <w:pStyle w:val="Heading3"/>
      </w:pPr>
      <w:r>
        <w:t xml:space="preserve">Bearish</w:t>
      </w:r>
    </w:p>
    <w:p>
      <w:pPr>
        <w:pStyle w:val="Compact"/>
        <w:numPr>
          <w:ilvl w:val="0"/>
          <w:numId w:val="1009"/>
        </w:numPr>
      </w:pPr>
      <w:r>
        <w:t xml:space="preserve">Adjusted EBITDA below roughly $1.8 billion.</w:t>
      </w:r>
    </w:p>
    <w:p>
      <w:pPr>
        <w:pStyle w:val="Compact"/>
        <w:numPr>
          <w:ilvl w:val="0"/>
          <w:numId w:val="1009"/>
        </w:numPr>
      </w:pPr>
      <w:r>
        <w:t xml:space="preserve">Weakness extending beyond marketing into Transmission or gathering.</w:t>
      </w:r>
    </w:p>
    <w:p>
      <w:pPr>
        <w:pStyle w:val="Compact"/>
        <w:numPr>
          <w:ilvl w:val="0"/>
          <w:numId w:val="1009"/>
        </w:numPr>
      </w:pPr>
      <w:r>
        <w:t xml:space="preserve">Less confidence in the upper half of annual guidance.</w:t>
      </w:r>
    </w:p>
    <w:p>
      <w:pPr>
        <w:pStyle w:val="Compact"/>
        <w:numPr>
          <w:ilvl w:val="0"/>
          <w:numId w:val="1009"/>
        </w:numPr>
      </w:pPr>
      <w:r>
        <w:t xml:space="preserve">Socrates commissioning delays or higher project costs.</w:t>
      </w:r>
    </w:p>
    <w:p>
      <w:pPr>
        <w:pStyle w:val="Compact"/>
        <w:numPr>
          <w:ilvl w:val="0"/>
          <w:numId w:val="1009"/>
        </w:numPr>
      </w:pPr>
      <w:r>
        <w:t xml:space="preserve">Ambiguous JV accounting that reduces expected AFFO or per-share growth.</w:t>
      </w:r>
    </w:p>
    <w:p>
      <w:pPr>
        <w:pStyle w:val="Compact"/>
        <w:numPr>
          <w:ilvl w:val="0"/>
          <w:numId w:val="1009"/>
        </w:numPr>
      </w:pPr>
      <w:r>
        <w:t xml:space="preserve">New spending commitments that quickly consume the leverage benefit.</w:t>
      </w:r>
    </w:p>
    <w:bookmarkEnd w:id="27"/>
    <w:bookmarkEnd w:id="28"/>
    <w:bookmarkStart w:id="29" w:name="bottom-line"/>
    <w:p>
      <w:pPr>
        <w:pStyle w:val="Heading2"/>
      </w:pPr>
      <w:r>
        <w:t xml:space="preserve">Bottom line</w:t>
      </w:r>
    </w:p>
    <w:p>
      <w:pPr>
        <w:pStyle w:val="FirstParagraph"/>
      </w:pPr>
      <w:r>
        <w:t xml:space="preserve">The expected sequential earnings decline is largely understood. The real test is whether Williams can demonstrate that:</w:t>
      </w:r>
    </w:p>
    <w:p>
      <w:pPr>
        <w:pStyle w:val="Compact"/>
        <w:numPr>
          <w:ilvl w:val="0"/>
          <w:numId w:val="1010"/>
        </w:numPr>
      </w:pPr>
      <w:r>
        <w:rPr>
          <w:b/>
          <w:bCs/>
        </w:rPr>
        <w:t xml:space="preserve">Core contracted EBITDA is still compounding at a high-single-digit or better rate.</w:t>
      </w:r>
    </w:p>
    <w:p>
      <w:pPr>
        <w:pStyle w:val="Compact"/>
        <w:numPr>
          <w:ilvl w:val="0"/>
          <w:numId w:val="1010"/>
        </w:numPr>
      </w:pPr>
      <w:r>
        <w:rPr>
          <w:b/>
          <w:bCs/>
        </w:rPr>
        <w:t xml:space="preserve">The second-half ramp remains intact.</w:t>
      </w:r>
    </w:p>
    <w:p>
      <w:pPr>
        <w:pStyle w:val="Compact"/>
        <w:numPr>
          <w:ilvl w:val="0"/>
          <w:numId w:val="1010"/>
        </w:numPr>
      </w:pPr>
      <w:r>
        <w:rPr>
          <w:b/>
          <w:bCs/>
        </w:rPr>
        <w:t xml:space="preserve">The Power Innovation JV converts the AI/data-center opportunity into accretive growth without overextending the balance sheet.</w:t>
      </w:r>
    </w:p>
    <w:p>
      <w:pPr>
        <w:pStyle w:val="FirstParagraph"/>
      </w:pPr>
      <w:r>
        <w:t xml:space="preserve">A roughly in-line quarter with firm upper-half guidance and clean project execution should support the thesis. At the current valuation, however, the best upside catalyst would be evidence that Williams can reach the high end of 2026 guidance while preserving the JV-created balance-sheet capacity for disciplined—not merely faster—growth.</w:t>
      </w:r>
    </w:p>
    <w:bookmarkEnd w:id="29"/>
    <w:bookmarkEnd w:id="30"/>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 Type="http://schemas.openxmlformats.org/officeDocument/2006/relationships/hyperlink" Id="rId13" Target="https://investor.williams.com/news-releases/news-release-details/williams-announces-record-first-quarter-2026-results?utm_source=openai" TargetMode="External" /><Relationship Type="http://schemas.openxmlformats.org/officeDocument/2006/relationships/hyperlink" Id="rId17" Target="https://investor.williams.com/static-files/353aec2d-f03a-444c-9216-3e4e168c40dc?utm_source=openai" TargetMode="External" /><Relationship Type="http://schemas.openxmlformats.org/officeDocument/2006/relationships/hyperlink" Id="rId11" Target="https://www.benzinga.com/quote/wmb/earnings?utm_source=openai" TargetMode="External" /><Relationship Type="http://schemas.openxmlformats.org/officeDocument/2006/relationships/hyperlink" Id="rId21" Target="https://www.williams.com/2026/07/13/williams-announces-5-34-billion-investment-in-power-innovation-joint-venture-from-blackstone/?utm_source=openai" TargetMode="External" /><Relationship Type="http://schemas.openxmlformats.org/officeDocument/2006/relationships/hyperlink" Id="rId9" Target="https://www.williams.com/2026/07/14/williams-to-report-second-quarter-2026-financial-results-on-aug-3-earnings-conference-call-and-webcast-scheduled-for-aug-4/?utm_source=openai" TargetMode="External" /></Relationships>
</file>

<file path=word/_rels/footnotes.xml.rels><?xml version="1.0" encoding="UTF-8"?><Relationships xmlns="http://schemas.openxmlformats.org/package/2006/relationships"><Relationship Type="http://schemas.openxmlformats.org/officeDocument/2006/relationships/hyperlink" Id="rId13" Target="https://investor.williams.com/news-releases/news-release-details/williams-announces-record-first-quarter-2026-results?utm_source=openai" TargetMode="External" /><Relationship Type="http://schemas.openxmlformats.org/officeDocument/2006/relationships/hyperlink" Id="rId17" Target="https://investor.williams.com/static-files/353aec2d-f03a-444c-9216-3e4e168c40dc?utm_source=openai" TargetMode="External" /><Relationship Type="http://schemas.openxmlformats.org/officeDocument/2006/relationships/hyperlink" Id="rId11" Target="https://www.benzinga.com/quote/wmb/earnings?utm_source=openai" TargetMode="External" /><Relationship Type="http://schemas.openxmlformats.org/officeDocument/2006/relationships/hyperlink" Id="rId21" Target="https://www.williams.com/2026/07/13/williams-announces-5-34-billion-investment-in-power-innovation-joint-venture-from-blackstone/?utm_source=openai" TargetMode="External" /><Relationship Type="http://schemas.openxmlformats.org/officeDocument/2006/relationships/hyperlink" Id="rId9" Target="https://www.williams.com/2026/07/14/williams-to-report-second-quarter-2026-financial-results-on-aug-3-earnings-conference-call-and-webcast-scheduled-for-aug-4/?utm_source=openai"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2026-08-03T00:32:15Z</dcterms:created>
  <dcterms:modified xsi:type="dcterms:W3CDTF">2026-08-03T00:32:15Z</dcterms:modified>
</cp:coreProperties>
</file>

<file path=docProps/custom.xml><?xml version="1.0" encoding="utf-8"?>
<Properties xmlns="http://schemas.openxmlformats.org/officeDocument/2006/custom-properties" xmlns:vt="http://schemas.openxmlformats.org/officeDocument/2006/docPropsVTypes"/>
</file>