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b-earnings-predictions--2026-08-03"/>
    <w:p>
      <w:pPr>
        <w:pStyle w:val="Heading1"/>
      </w:pPr>
      <w:r>
        <w:t xml:space="preserve">WMB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~$2.09B vs. cons $2.06B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~$0.54 vs. cons $0.53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Transmission, Power &amp; Gulf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~$1.04B vs. cons $1.02B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Adjusted EBITDA outlook / upper-half positioning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~$8.28B vs. cons $8.25B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growth capital expenditures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~$7.30B vs. cons $7.30B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leverage midpoint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~3.60x vs. cons 3.60x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+3.2% (FOLLOW-THROUGH)</w:t>
            </w:r>
          </w:p>
        </w:tc>
        <w:tc>
          <w:tcPr/>
          <w:p>
            <w:pPr>
              <w:pStyle w:val="Compact"/>
            </w:pPr>
            <w:r>
              <w:t xml:space="preserve">pred ~3.2% vs. day-1 ~1.8%; a modest EBITDA/EPS beat plus reiterated upper-half FY2026 EBITDA positioning should support out-period EBITDA and EPS revisions, while the ~3.60x leverage midpoint preserves the Power Innovation growth narrative without incremental balance-sheet pressure.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2026-08-03T00:31:02Z</dcterms:created>
  <dcterms:modified xsi:type="dcterms:W3CDTF">2026-08-03T00:31:02Z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