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williams-nyse-wmb--2q26-earnings-preview"/>
    <w:p>
      <w:pPr>
        <w:pStyle w:val="Heading1"/>
      </w:pPr>
      <w:r>
        <w:t xml:space="preserve">Williams (NYSE: WMB) — 2Q26 Earnings Preview</w:t>
      </w:r>
    </w:p>
    <w:p>
      <w:pPr>
        <w:pStyle w:val="BlockText"/>
      </w:pPr>
      <w:r>
        <w:rPr>
          <w:b/>
          <w:bCs/>
        </w:rPr>
        <w:t xml:space="preserve">Calendar note:</w:t>
      </w:r>
      <w:r>
        <w:t xml:space="preserve"> </w:t>
      </w:r>
      <w:r>
        <w:t xml:space="preserve">Williams is scheduled to release second-quarter 2026 results</w:t>
      </w:r>
      <w:r>
        <w:t xml:space="preserve"> </w:t>
      </w:r>
      <w:r>
        <w:rPr>
          <w:b/>
          <w:bCs/>
        </w:rPr>
        <w:t xml:space="preserve">after the close today, Monday, August 3, 2026</w:t>
      </w:r>
      <w:r>
        <w:t xml:space="preserve">—not tomorrow. The earnings call is</w:t>
      </w:r>
      <w:r>
        <w:t xml:space="preserve"> </w:t>
      </w:r>
      <w:r>
        <w:rPr>
          <w:b/>
          <w:bCs/>
        </w:rPr>
        <w:t xml:space="preserve">Tuesday, August 4 at 9:30 a.m. ET</w:t>
      </w:r>
      <w:r>
        <w:t xml:space="preserve">.</w:t>
      </w:r>
    </w:p>
    <w:bookmarkStart w:id="9" w:name="X0cd15d8d14844b144160b73d1e66318cfc1c17f"/>
    <w:p>
      <w:pPr>
        <w:pStyle w:val="Heading2"/>
      </w:pPr>
      <w:r>
        <w:t xml:space="preserve">Investment view: execution and capital recycling are the focus</w:t>
      </w:r>
    </w:p>
    <w:p>
      <w:pPr>
        <w:pStyle w:val="FirstParagraph"/>
      </w:pPr>
      <w:r>
        <w:t xml:space="preserve">Williams enters 2Q with a strong fundamental narrative: regulated/contracted natural-gas infrastructure growth, expanding Gulf Coast and Transco earnings, and an increasingly material power-infrastructure opportunity tied to data-center demand. The key debate has shifted from whether Williams has a large project opportunity set to whether it can</w:t>
      </w:r>
      <w:r>
        <w:t xml:space="preserve"> </w:t>
      </w:r>
      <w:r>
        <w:rPr>
          <w:b/>
          <w:bCs/>
        </w:rPr>
        <w:t xml:space="preserve">execute the buildout while protecting returns, leverage, and dividend growth</w:t>
      </w:r>
      <w:r>
        <w:t xml:space="preserve">.</w:t>
      </w:r>
    </w:p>
    <w:p>
      <w:pPr>
        <w:pStyle w:val="BodyText"/>
      </w:pPr>
      <w:r>
        <w:t xml:space="preserve">Management materially addressed that latter concern in July through the Power Innovation joint venture with Blackstone, Apollo, and KKR. The transaction provides</w:t>
      </w:r>
      <w:r>
        <w:t xml:space="preserve"> </w:t>
      </w:r>
      <w:r>
        <w:rPr>
          <w:b/>
          <w:bCs/>
        </w:rPr>
        <w:t xml:space="preserve">$5.34 billion</w:t>
      </w:r>
      <w:r>
        <w:t xml:space="preserve"> </w:t>
      </w:r>
      <w:r>
        <w:t xml:space="preserve">of committed capital for a 49% interest in Williams’ five announced behind-the-meter power projects, while WMB retains 51%, operational control, and a future buyout right. Management now guides to approximately</w:t>
      </w:r>
      <w:r>
        <w:t xml:space="preserve"> </w:t>
      </w:r>
      <w:r>
        <w:rPr>
          <w:b/>
          <w:bCs/>
        </w:rPr>
        <w:t xml:space="preserve">3.6x 2026 leverage</w:t>
      </w:r>
      <w:r>
        <w:t xml:space="preserve">, versus its roughly 4.1x prior midpoint, while maintaining 2026 EBITDA, capital-spending, and per-share guidance. That is a meaningful positive going into earnings—but investors will want more clarity on timing, accounting, project economics, and incremental opportunity conversion.</w:t>
      </w:r>
    </w:p>
    <w:p>
      <w:pPr>
        <w:pStyle w:val="BodyText"/>
      </w:pPr>
      <w:r>
        <w:t xml:space="preserve">The stock closed at</w:t>
      </w:r>
      <w:r>
        <w:t xml:space="preserve"> </w:t>
      </w:r>
      <w:r>
        <w:rPr>
          <w:b/>
          <w:bCs/>
        </w:rPr>
        <w:t xml:space="preserve">$71.56 on July 31</w:t>
      </w:r>
      <w:r>
        <w:t xml:space="preserve">, down roughly</w:t>
      </w:r>
      <w:r>
        <w:t xml:space="preserve"> </w:t>
      </w:r>
      <w:r>
        <w:rPr>
          <w:b/>
          <w:bCs/>
        </w:rPr>
        <w:t xml:space="preserve">5.3%</w:t>
      </w:r>
      <w:r>
        <w:t xml:space="preserve"> </w:t>
      </w:r>
      <w:r>
        <w:t xml:space="preserve">from its $75.54 close immediately ahead of first-quarter earnings on May 1. That pullback raises the importance of reaffirmed guidance and credible evidence that the growth backlog remains on schedule.</w:t>
      </w:r>
    </w:p>
    <w:bookmarkEnd w:id="9"/>
    <w:bookmarkStart w:id="14" w:name="what-the-quarter-needs-to-show"/>
    <w:p>
      <w:pPr>
        <w:pStyle w:val="Heading2"/>
      </w:pPr>
      <w:r>
        <w:t xml:space="preserve">What the quarter needs to show</w:t>
      </w:r>
    </w:p>
    <w:bookmarkStart w:id="10" w:name="X2c5622d9a0a843c32380a9528d0d020e9d773b7"/>
    <w:p>
      <w:pPr>
        <w:pStyle w:val="Heading3"/>
      </w:pPr>
      <w:r>
        <w:t xml:space="preserve">1. Reaffirmation—or increased confidence—in the upper half of 2026 EBITDA guidance</w:t>
      </w:r>
    </w:p>
    <w:p>
      <w:pPr>
        <w:pStyle w:val="FirstParagraph"/>
      </w:pPr>
      <w:r>
        <w:t xml:space="preserve">Williams’ formal 2026 Adjusted EBITDA range is</w:t>
      </w:r>
      <w:r>
        <w:t xml:space="preserve"> </w:t>
      </w:r>
      <m:oMath>
        <m:r>
          <m:t>8.05</m:t>
        </m:r>
        <m:r>
          <m:rPr>
            <m:sty m:val="p"/>
          </m:rPr>
          <m:t>–</m:t>
        </m:r>
      </m:oMath>
      <w:r>
        <w:rPr>
          <w:b/>
          <w:bCs/>
        </w:rPr>
        <w:t xml:space="preserve">8.35 billion</w:t>
      </w:r>
      <w:r>
        <w:t xml:space="preserve">, and management has said it expects to land in the</w:t>
      </w:r>
      <w:r>
        <w:t xml:space="preserve"> </w:t>
      </w:r>
      <w:r>
        <w:rPr>
          <w:b/>
          <w:bCs/>
        </w:rPr>
        <w:t xml:space="preserve">upper half</w:t>
      </w:r>
      <w:r>
        <w:t xml:space="preserve"> </w:t>
      </w:r>
      <w:r>
        <w:t xml:space="preserve">of that range. First-quarter Adjusted EBITDA was a record</w:t>
      </w:r>
      <w:r>
        <w:t xml:space="preserve"> </w:t>
      </w:r>
      <w:r>
        <w:rPr>
          <w:b/>
          <w:bCs/>
        </w:rPr>
        <w:t xml:space="preserve">$2.254 billion</w:t>
      </w:r>
      <w:r>
        <w:t xml:space="preserve">, up 13% year over year; that represents approximately 27.5% of the $8.2 billion guidance midpoint.</w:t>
      </w:r>
    </w:p>
    <w:p>
      <w:pPr>
        <w:pStyle w:val="BodyText"/>
      </w:pPr>
      <w:r>
        <w:t xml:space="preserve">The company has cautioned that 2Q is seasonally softer, with sequential growth expected to resume in the second half as projects enter service, including the partial start-up of Socrates in 3Q. Accordingly, the central question is not necessarily whether 2Q EBITDA is sequentially lower than 1Q, but whether the quarter and commentary reinforce a clear path to the upper-half outlook.</w:t>
      </w:r>
    </w:p>
    <w:p>
      <w:pPr>
        <w:pStyle w:val="BodyText"/>
      </w:pPr>
      <w:r>
        <w:rPr>
          <w:b/>
          <w:bCs/>
        </w:rPr>
        <w:t xml:space="preserve">Useful reference point:</w:t>
      </w:r>
      <w:r>
        <w:t xml:space="preserve"> </w:t>
      </w:r>
      <w:r>
        <w:t xml:space="preserve">In 2Q25, WMB generated</w:t>
      </w:r>
      <w:r>
        <w:t xml:space="preserve"> </w:t>
      </w:r>
      <m:oMath>
        <m:r>
          <m:t>1.808</m:t>
        </m:r>
        <m:r>
          <m:t>b</m:t>
        </m:r>
        <m:r>
          <m:t>i</m:t>
        </m:r>
        <m:r>
          <m:t>l</m:t>
        </m:r>
        <m:r>
          <m:t>l</m:t>
        </m:r>
        <m:r>
          <m:t>i</m:t>
        </m:r>
        <m:r>
          <m:t>o</m:t>
        </m:r>
        <m:r>
          <m:t>n</m:t>
        </m:r>
        <m:r>
          <m:t>o</m:t>
        </m:r>
        <m:r>
          <m:t>f</m:t>
        </m:r>
        <m:r>
          <m:t>A</m:t>
        </m:r>
        <m:r>
          <m:t>d</m:t>
        </m:r>
        <m:r>
          <m:t>j</m:t>
        </m:r>
        <m:r>
          <m:t>u</m:t>
        </m:r>
        <m:r>
          <m:t>s</m:t>
        </m:r>
        <m:r>
          <m:t>t</m:t>
        </m:r>
        <m:r>
          <m:t>e</m:t>
        </m:r>
        <m:r>
          <m:t>d</m:t>
        </m:r>
        <m:r>
          <m:t>E</m:t>
        </m:r>
        <m:r>
          <m:t>B</m:t>
        </m:r>
        <m:r>
          <m:t>I</m:t>
        </m:r>
        <m:r>
          <m:t>T</m:t>
        </m:r>
        <m:r>
          <m:t>D</m:t>
        </m:r>
        <m:r>
          <m:t>A</m:t>
        </m:r>
        <m:r>
          <m:rPr>
            <m:sty m:val="p"/>
          </m:rPr>
          <m:t>*</m:t>
        </m:r>
        <m:r>
          <m:rPr>
            <m:sty m:val="p"/>
          </m:rPr>
          <m:t>*</m:t>
        </m:r>
        <m:r>
          <m:t>a</m:t>
        </m:r>
        <m:r>
          <m:t>n</m:t>
        </m:r>
        <m:r>
          <m:t>d</m:t>
        </m:r>
        <m:r>
          <m:rPr>
            <m:sty m:val="p"/>
          </m:rPr>
          <m:t>*</m:t>
        </m:r>
        <m:r>
          <m:rPr>
            <m:sty m:val="p"/>
          </m:rPr>
          <m:t>*</m:t>
        </m:r>
      </m:oMath>
      <w:r>
        <w:rPr>
          <w:b/>
          <w:bCs/>
        </w:rPr>
        <w:t xml:space="preserve">0.46 of adjusted EPS</w:t>
      </w:r>
      <w:r>
        <w:t xml:space="preserve">. The prior-year period therefore offers an achievable comparison, while the higher bar is whether growth in Transco, Gulf, Haynesville and power-related activity can offset normal seasonal softness in marketing and other businesses.</w:t>
      </w:r>
    </w:p>
    <w:bookmarkEnd w:id="10"/>
    <w:bookmarkStart w:id="11" w:name="X28dfa18b6af3a0c60a6eaa50b49956a738f03c5"/>
    <w:p>
      <w:pPr>
        <w:pStyle w:val="Heading3"/>
      </w:pPr>
      <w:r>
        <w:t xml:space="preserve">2. Transmission, Power &amp; Gulf should remain the primary earnings engine</w:t>
      </w:r>
    </w:p>
    <w:p>
      <w:pPr>
        <w:pStyle w:val="FirstParagraph"/>
      </w:pPr>
      <w:r>
        <w:t xml:space="preserve">This segment delivered $1.010 billion of first-quarter Adjusted EBITDA, up $148 million year over year. The drivers were higher Transco rates following the rate-case settlement, expansion-project contributions, new Gulf volumes, and stronger storage revenue.</w:t>
      </w:r>
    </w:p>
    <w:p>
      <w:pPr>
        <w:pStyle w:val="BodyText"/>
      </w:pPr>
      <w:r>
        <w:t xml:space="preserve">For 2Q, investors should look for evidence that those drivers remain intact: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Transco:</w:t>
      </w:r>
      <w:r>
        <w:t xml:space="preserve"> </w:t>
      </w:r>
      <w:r>
        <w:t xml:space="preserve">firm-capacity and transported-volume trends, rate realization, and progress on expansion projects.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Deepwater Gulf:</w:t>
      </w:r>
      <w:r>
        <w:t xml:space="preserve"> </w:t>
      </w:r>
      <w:r>
        <w:t xml:space="preserve">sustained contributions from Shenandoah, Whale, Ballymore, and related Gulf developments.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Storage:</w:t>
      </w:r>
      <w:r>
        <w:t xml:space="preserve"> </w:t>
      </w:r>
      <w:r>
        <w:t xml:space="preserve">whether the business continues to benefit from market volatility and rising reliability value.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Project execution:</w:t>
      </w:r>
      <w:r>
        <w:t xml:space="preserve"> </w:t>
      </w:r>
      <w:r>
        <w:t xml:space="preserve">NESE and SESE construction, Power Express scope/timing, Silver Spur commercialization, and any incremental storage projects.</w:t>
      </w:r>
    </w:p>
    <w:p>
      <w:pPr>
        <w:pStyle w:val="FirstParagraph"/>
      </w:pPr>
      <w:r>
        <w:t xml:space="preserve">The durable bull case remains that Transco and associated projects monetize long-lived, contracted demand rather than relying solely on commodity prices.</w:t>
      </w:r>
    </w:p>
    <w:bookmarkEnd w:id="11"/>
    <w:bookmarkStart w:id="12" w:name="X12025358f7115dc4c1abace15ccaf681c118bd6"/>
    <w:p>
      <w:pPr>
        <w:pStyle w:val="Heading3"/>
      </w:pPr>
      <w:r>
        <w:t xml:space="preserve">3. Gathering volumes need to validate the supply-response thesis</w:t>
      </w:r>
    </w:p>
    <w:p>
      <w:pPr>
        <w:pStyle w:val="FirstParagraph"/>
      </w:pPr>
      <w:r>
        <w:t xml:space="preserve">Williams’ G&amp;P footprint is positioned in the Haynesville, Appalachia, Rockies, and other key basins expected to respond to LNG exports and power demand. In 1Q, West adjusted EBITDA rose 16% year over year, aided by Louisiana Energy Gateway and the 2025 Rimrock/Saber acquisitions, while Northeast G&amp;P grew modestly as rich-gas strength offset dry-gas weakness.</w:t>
      </w:r>
    </w:p>
    <w:p>
      <w:pPr>
        <w:pStyle w:val="BodyText"/>
      </w:pPr>
      <w:r>
        <w:t xml:space="preserve">Watch for: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Haynesville producer activity and volume outlook.</w:t>
      </w:r>
      <w:r>
        <w:t xml:space="preserve"> </w:t>
      </w:r>
      <w:r>
        <w:t xml:space="preserve">Management previously characterized producers as cautious near term, but constructive on the basin’s medium-term role in meeting LNG demand.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Louisiana Energy Gateway utilization</w:t>
      </w:r>
      <w:r>
        <w:t xml:space="preserve"> </w:t>
      </w:r>
      <w:r>
        <w:t xml:space="preserve">and associated gathering-volume growth.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Northeast throughput trends,</w:t>
      </w:r>
      <w:r>
        <w:t xml:space="preserve"> </w:t>
      </w:r>
      <w:r>
        <w:t xml:space="preserve">particularly whether Appalachia growth offsets lower Susquehanna Supply Hub volumes.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New commercial agreements</w:t>
      </w:r>
      <w:r>
        <w:t xml:space="preserve"> </w:t>
      </w:r>
      <w:r>
        <w:t xml:space="preserve">for gathering, processing, storage, or transmission capacity.</w:t>
      </w:r>
    </w:p>
    <w:p>
      <w:pPr>
        <w:pStyle w:val="FirstParagraph"/>
      </w:pPr>
      <w:r>
        <w:t xml:space="preserve">A weaker-than-expected producer response would not break WMB’s overall thesis, given the company’s fee-based Transmission exposure, but it could pressure the pace of West and Northeast G&amp;P growth.</w:t>
      </w:r>
    </w:p>
    <w:bookmarkEnd w:id="12"/>
    <w:bookmarkStart w:id="13" w:name="Xef71f9dcb77c819fe6050c4a1fdd095ec681b41"/>
    <w:p>
      <w:pPr>
        <w:pStyle w:val="Heading3"/>
      </w:pPr>
      <w:r>
        <w:t xml:space="preserve">4. The Power Innovation JV is now a major valuation and financing catalyst</w:t>
      </w:r>
    </w:p>
    <w:p>
      <w:pPr>
        <w:pStyle w:val="FirstParagraph"/>
      </w:pPr>
      <w:r>
        <w:t xml:space="preserve">The July financing announcement changed the near-term risk profile. Blackstone and partners committed capital equal to 49% of expected project capex, plus roughly $0.9 billion of additional consideration to Williams. Management characterized the capital as approximately</w:t>
      </w:r>
      <w:r>
        <w:t xml:space="preserve"> </w:t>
      </w:r>
      <w:r>
        <w:rPr>
          <w:b/>
          <w:bCs/>
        </w:rPr>
        <w:t xml:space="preserve">6.35% cost of equity</w:t>
      </w:r>
      <w:r>
        <w:t xml:space="preserve">, highlighted a 10% promote, and stated that the structure preserves long-term upside while reducing corporate capital needs.</w:t>
      </w:r>
    </w:p>
    <w:p>
      <w:pPr>
        <w:pStyle w:val="BodyText"/>
      </w:pPr>
      <w:r>
        <w:t xml:space="preserve">At earnings, investors should seek specifics on: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Closing status and funding cadence</w:t>
      </w:r>
      <w:r>
        <w:t xml:space="preserve"> </w:t>
      </w:r>
      <w:r>
        <w:t xml:space="preserve">of the JV.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Impact on reported EBITDA, cash flow, noncontrolling interest, and per-share economics.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Construction milestones</w:t>
      </w:r>
      <w:r>
        <w:t xml:space="preserve"> </w:t>
      </w:r>
      <w:r>
        <w:t xml:space="preserve">for Socrates, Apollo, Aquila, Socrates the Younger, and Neo.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The timing of contracted EBITDA contribution</w:t>
      </w:r>
      <w:r>
        <w:t xml:space="preserve">, especially the partial Socrates ramp anticipated in 3Q.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Additional projects from the 6+ GW opportunity backlog</w:t>
      </w:r>
      <w:r>
        <w:t xml:space="preserve">—and whether the JV enables faster conversion without reintroducing balance-sheet pressure.</w:t>
      </w:r>
    </w:p>
    <w:p>
      <w:pPr>
        <w:pStyle w:val="FirstParagraph"/>
      </w:pPr>
      <w:r>
        <w:t xml:space="preserve">The upside case is compelling: WMB can recycle capital into high-return, contracted power projects while retaining operatorship and most of the long-term value. The risk is that permitting, equipment, construction, customer-load ramp, or project complexity pushes cash flows out while capex arrives upfront.</w:t>
      </w:r>
    </w:p>
    <w:bookmarkEnd w:id="13"/>
    <w:bookmarkEnd w:id="14"/>
    <w:bookmarkStart w:id="15" w:name="financial-items-to-monitor"/>
    <w:p>
      <w:pPr>
        <w:pStyle w:val="Heading2"/>
      </w:pPr>
      <w:r>
        <w:t xml:space="preserve">Financial items to monitor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</w:pPr>
            <w:r>
              <w:t xml:space="preserve">Why it matters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Adjusted EBITDA and 2026 guidance</w:t>
            </w:r>
          </w:p>
        </w:tc>
        <w:tc>
          <w:tcPr/>
          <w:p>
            <w:pPr>
              <w:pStyle w:val="Compact"/>
            </w:pPr>
            <w:r>
              <w:t xml:space="preserve">The cleanest test of whether WMB remains on track for the upper half of its</w:t>
            </w:r>
            <w:r>
              <w:t xml:space="preserve"> </w:t>
            </w:r>
            <m:oMath>
              <m:r>
                <m:t>8.05</m:t>
              </m:r>
              <m:r>
                <m:rPr>
                  <m:sty m:val="p"/>
                </m:rPr>
                <m:t>–</m:t>
              </m:r>
            </m:oMath>
            <w:r>
              <w:t xml:space="preserve">8.35B range.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Tests whether EBITDA growth is translating through higher interest expense, noncontrolling interests, and the capital program.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Growth capex</w:t>
            </w:r>
          </w:p>
        </w:tc>
        <w:tc>
          <w:tcPr/>
          <w:p>
            <w:pPr>
              <w:pStyle w:val="Compact"/>
            </w:pPr>
            <w:r>
              <w:t xml:space="preserve">Guidance is</w:t>
            </w:r>
            <w:r>
              <w:t xml:space="preserve"> </w:t>
            </w:r>
            <m:oMath>
              <m:r>
                <m:t>7.0</m:t>
              </m:r>
              <m:r>
                <m:rPr>
                  <m:sty m:val="p"/>
                </m:rPr>
                <m:t>–</m:t>
              </m:r>
            </m:oMath>
            <w:r>
              <w:t xml:space="preserve">7.6B for 2026; spending pace and project timing will shape free-cash-flow and financing expectations.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Leverage</w:t>
            </w:r>
          </w:p>
        </w:tc>
        <w:tc>
          <w:tcPr/>
          <w:p>
            <w:pPr>
              <w:pStyle w:val="Compact"/>
            </w:pPr>
            <w:r>
              <w:t xml:space="preserve">The July JV reduced the company’s 2026 midpoint leverage expectation to ~3.6x; investors will want confirmation that this remains credible.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AFFO and dividend coverage</w:t>
            </w:r>
          </w:p>
        </w:tc>
        <w:tc>
          <w:tcPr/>
          <w:p>
            <w:pPr>
              <w:pStyle w:val="Compact"/>
            </w:pPr>
            <w:r>
              <w:t xml:space="preserve">WMB reported 2.76x coverage in 1Q and has a 2026 annualized dividend of $2.10 per share. Sustained coverage supports dividend-growth confidence.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Marketing earnings</w:t>
            </w:r>
          </w:p>
        </w:tc>
        <w:tc>
          <w:tcPr/>
          <w:p>
            <w:pPr>
              <w:pStyle w:val="Compact"/>
            </w:pPr>
            <w:r>
              <w:t xml:space="preserve">Gas &amp; NGL Marketing can be volatile; investors should distinguish recurring physical-marketing margins from unrealized derivative movements.</w:t>
            </w:r>
          </w:p>
        </w:tc>
      </w:tr>
    </w:tbl>
    <w:bookmarkEnd w:id="15"/>
    <w:bookmarkStart w:id="18" w:name="Xa7aec18f39f184e516edc5bb3c44b5ace5b9632"/>
    <w:p>
      <w:pPr>
        <w:pStyle w:val="Heading2"/>
      </w:pPr>
      <w:r>
        <w:t xml:space="preserve">Expectations and possible market reactions</w:t>
      </w:r>
    </w:p>
    <w:bookmarkStart w:id="16" w:name="a-constructive-result"/>
    <w:p>
      <w:pPr>
        <w:pStyle w:val="Heading3"/>
      </w:pPr>
      <w:r>
        <w:t xml:space="preserve">A constructive result</w:t>
      </w:r>
    </w:p>
    <w:p>
      <w:pPr>
        <w:pStyle w:val="FirstParagraph"/>
      </w:pPr>
      <w:r>
        <w:t xml:space="preserve">A favorable report would likely include:</w:t>
      </w:r>
    </w:p>
    <w:p>
      <w:pPr>
        <w:pStyle w:val="Compact"/>
        <w:numPr>
          <w:ilvl w:val="0"/>
          <w:numId w:val="1004"/>
        </w:numPr>
      </w:pPr>
      <w:r>
        <w:t xml:space="preserve">EBITDA and adjusted EPS at or above expectations despite normal 2Q seasonality;</w:t>
      </w:r>
    </w:p>
    <w:p>
      <w:pPr>
        <w:pStyle w:val="Compact"/>
        <w:numPr>
          <w:ilvl w:val="0"/>
          <w:numId w:val="1004"/>
        </w:numPr>
      </w:pPr>
      <w:r>
        <w:t xml:space="preserve">clear reaffirmation of upper-half EBITDA guidance;</w:t>
      </w:r>
    </w:p>
    <w:p>
      <w:pPr>
        <w:pStyle w:val="Compact"/>
        <w:numPr>
          <w:ilvl w:val="0"/>
          <w:numId w:val="1004"/>
        </w:numPr>
      </w:pPr>
      <w:r>
        <w:t xml:space="preserve">stable or improving capex and leverage commentary following the JV;</w:t>
      </w:r>
    </w:p>
    <w:p>
      <w:pPr>
        <w:pStyle w:val="Compact"/>
        <w:numPr>
          <w:ilvl w:val="0"/>
          <w:numId w:val="1004"/>
        </w:numPr>
      </w:pPr>
      <w:r>
        <w:t xml:space="preserve">confirmation that Socrates remains on track for a 3Q partial start-up;</w:t>
      </w:r>
    </w:p>
    <w:p>
      <w:pPr>
        <w:pStyle w:val="Compact"/>
        <w:numPr>
          <w:ilvl w:val="0"/>
          <w:numId w:val="1004"/>
        </w:numPr>
      </w:pPr>
      <w:r>
        <w:t xml:space="preserve">strong Transco/Gulf performance and resilient gathering volumes; and</w:t>
      </w:r>
    </w:p>
    <w:p>
      <w:pPr>
        <w:pStyle w:val="Compact"/>
        <w:numPr>
          <w:ilvl w:val="0"/>
          <w:numId w:val="1004"/>
        </w:numPr>
      </w:pPr>
      <w:r>
        <w:t xml:space="preserve">further evidence that the power-project backlog is converting into contracted, financeable projects.</w:t>
      </w:r>
    </w:p>
    <w:bookmarkEnd w:id="16"/>
    <w:bookmarkStart w:id="17" w:name="a-more-mixed-result"/>
    <w:p>
      <w:pPr>
        <w:pStyle w:val="Heading3"/>
      </w:pPr>
      <w:r>
        <w:t xml:space="preserve">A more mixed result</w:t>
      </w:r>
    </w:p>
    <w:p>
      <w:pPr>
        <w:pStyle w:val="FirstParagraph"/>
      </w:pPr>
      <w:r>
        <w:t xml:space="preserve">The stock could struggle if management:</w:t>
      </w:r>
    </w:p>
    <w:p>
      <w:pPr>
        <w:pStyle w:val="Compact"/>
        <w:numPr>
          <w:ilvl w:val="0"/>
          <w:numId w:val="1005"/>
        </w:numPr>
      </w:pPr>
      <w:r>
        <w:t xml:space="preserve">retreats from the upper-half 2026 EBITDA framing;</w:t>
      </w:r>
    </w:p>
    <w:p>
      <w:pPr>
        <w:pStyle w:val="Compact"/>
        <w:numPr>
          <w:ilvl w:val="0"/>
          <w:numId w:val="1005"/>
        </w:numPr>
      </w:pPr>
      <w:r>
        <w:t xml:space="preserve">indicates capex acceleration without corresponding JV funding or leverage protection;</w:t>
      </w:r>
    </w:p>
    <w:p>
      <w:pPr>
        <w:pStyle w:val="Compact"/>
        <w:numPr>
          <w:ilvl w:val="0"/>
          <w:numId w:val="1005"/>
        </w:numPr>
      </w:pPr>
      <w:r>
        <w:t xml:space="preserve">signals delays in Socrates or other power projects;</w:t>
      </w:r>
    </w:p>
    <w:p>
      <w:pPr>
        <w:pStyle w:val="Compact"/>
        <w:numPr>
          <w:ilvl w:val="0"/>
          <w:numId w:val="1005"/>
        </w:numPr>
      </w:pPr>
      <w:r>
        <w:t xml:space="preserve">sees weaker Haynesville/Appalachia activity or material margin normalization; or</w:t>
      </w:r>
    </w:p>
    <w:p>
      <w:pPr>
        <w:pStyle w:val="Compact"/>
        <w:numPr>
          <w:ilvl w:val="0"/>
          <w:numId w:val="1005"/>
        </w:numPr>
      </w:pPr>
      <w:r>
        <w:t xml:space="preserve">provides insufficient transparency on the JV’s per-share economics and accounting treatment.</w:t>
      </w:r>
    </w:p>
    <w:bookmarkEnd w:id="17"/>
    <w:bookmarkEnd w:id="18"/>
    <w:bookmarkStart w:id="20" w:name="bottom-line"/>
    <w:p>
      <w:pPr>
        <w:pStyle w:val="Heading2"/>
      </w:pPr>
      <w:r>
        <w:t xml:space="preserve">Bottom line</w:t>
      </w:r>
    </w:p>
    <w:p>
      <w:pPr>
        <w:pStyle w:val="FirstParagraph"/>
      </w:pPr>
      <w:r>
        <w:t xml:space="preserve">WMB’s 2Q26 report is less about a single-quarter EPS outcome than about validating a</w:t>
      </w:r>
      <w:r>
        <w:t xml:space="preserve"> </w:t>
      </w:r>
      <w:r>
        <w:rPr>
          <w:b/>
          <w:bCs/>
        </w:rPr>
        <w:t xml:space="preserve">multi-year earnings-growth algorithm</w:t>
      </w:r>
      <w:r>
        <w:t xml:space="preserve">: Transco and Gulf expansions provide the base, gathering systems provide incremental volume upside, and Power Innovation offers potentially outsized growth. The July JV meaningfully reduces the key bear-case concern—balance-sheet strain from accelerating power capex.</w:t>
      </w:r>
    </w:p>
    <w:p>
      <w:pPr>
        <w:pStyle w:val="BodyText"/>
      </w:pPr>
      <w:r>
        <w:t xml:space="preserve">The highest-value disclosures will be:</w:t>
      </w:r>
      <w:r>
        <w:t xml:space="preserve"> </w:t>
      </w:r>
      <w:r>
        <w:rPr>
          <w:b/>
          <w:bCs/>
        </w:rPr>
        <w:t xml:space="preserve">upper-half EBITDA-guide confidence, Socrates commissioning status, capex cadence, JV mechanics, leverage trajectory, and the next set of contracted power or gas-infrastructure projects.</w:t>
      </w:r>
    </w:p>
    <w:bookmarkStart w:id="19" w:name="primary-source-materials-reviewed"/>
    <w:p>
      <w:pPr>
        <w:pStyle w:val="Heading3"/>
      </w:pPr>
      <w:r>
        <w:t xml:space="preserve">Primary source materials reviewed</w:t>
      </w:r>
    </w:p>
    <w:p>
      <w:pPr>
        <w:pStyle w:val="Compact"/>
        <w:numPr>
          <w:ilvl w:val="0"/>
          <w:numId w:val="1006"/>
        </w:numPr>
      </w:pPr>
      <w:r>
        <w:t xml:space="preserve">Williams 1Q26 earnings release and 1Q26 earnings-call transcript.</w:t>
      </w:r>
    </w:p>
    <w:p>
      <w:pPr>
        <w:pStyle w:val="Compact"/>
        <w:numPr>
          <w:ilvl w:val="0"/>
          <w:numId w:val="1006"/>
        </w:numPr>
      </w:pPr>
      <w:r>
        <w:t xml:space="preserve">Williams’ July 13, 2026 Power Innovation JV announcement and investor presentation.</w:t>
      </w:r>
    </w:p>
    <w:p>
      <w:pPr>
        <w:pStyle w:val="Compact"/>
        <w:numPr>
          <w:ilvl w:val="0"/>
          <w:numId w:val="1006"/>
        </w:numPr>
      </w:pPr>
      <w:r>
        <w:t xml:space="preserve">Williams’ July 2026 earnings-date announcement.</w:t>
      </w:r>
    </w:p>
    <w:bookmarkEnd w:id="19"/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2026-08-03T00:31:02Z</dcterms:created>
  <dcterms:modified xsi:type="dcterms:W3CDTF">2026-08-03T00:31:02Z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