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wmb-earnings-predictions--2026-08-03"/>
    <w:p>
      <w:pPr>
        <w:pStyle w:val="Heading1"/>
      </w:pPr>
      <w:r>
        <w:t xml:space="preserve">WMB Earnings Predictions — 2026-08-03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EBITDA (Q2 2026)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~$1,975M vs. cons $1,940M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Operating EPS (Q2 2026)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~$0.52 vs. cons $0.504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Adj. EBITDA - Transmission &amp; Gulf (Q2 2026)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~$1,010M vs. cons $991M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 2026 Adj. EBITDA (FY 2026)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~$8.35B midpoint vs. cons $8,354M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Power Innovation Commentary (qualitative, FY 2026)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Socrates commissioning update + potential 6th project hint vs. no new project expected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+2.0%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WMB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+2.5% (FOLLOW-THROUGH)</w:t>
            </w:r>
          </w:p>
        </w:tc>
        <w:tc>
          <w:tcPr/>
          <w:p>
            <w:pPr>
              <w:pStyle w:val="Compact"/>
            </w:pPr>
            <w:r>
              <w:t xml:space="preserve">FOLLOW-THROUGH — modest estimate revision lift as Street models Socrates Q3 partial startup; no leverage overhang to weigh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2026-08-04T02:00:25Z</dcterms:created>
  <dcterms:modified xsi:type="dcterms:W3CDTF">2026-08-04T02:00:25Z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