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Williams Companies (WMB) — Q2 2026 Earnings Preview</w:t>
      </w:r>
    </w:p>
    <w:tbl>
      <w:tblPr>
        <w:tblStyle w:val="TableGrid"/>
        <w:tblW w:type="auto" w:w="0"/>
        <w:tblLook w:firstColumn="1" w:firstRow="1" w:lastColumn="0" w:lastRow="0" w:noHBand="0" w:noVBand="1" w:val="04A0"/>
      </w:tblPr>
      <w:tblGrid>
        <w:gridCol w:w="4320"/>
        <w:gridCol w:w="4320"/>
      </w:tblGrid>
      <w:tr>
        <w:tc>
          <w:tcPr>
            <w:tcW w:type="dxa" w:w="4320"/>
          </w:tcPr>
          <w:p>
            <w:r>
              <w:rPr>
                <w:rFonts w:ascii="Calibri" w:hAnsi="Calibri"/>
                <w:b/>
                <w:sz w:val="22"/>
              </w:rPr>
              <w:t>Company</w:t>
            </w:r>
          </w:p>
        </w:tc>
        <w:tc>
          <w:tcPr>
            <w:tcW w:type="dxa" w:w="4320"/>
          </w:tcPr>
          <w:p>
            <w:r>
              <w:rPr>
                <w:rFonts w:ascii="Calibri" w:hAnsi="Calibri"/>
                <w:sz w:val="22"/>
              </w:rPr>
              <w:t>Williams Companies, Inc.</w:t>
            </w:r>
          </w:p>
        </w:tc>
      </w:tr>
      <w:tr>
        <w:tc>
          <w:tcPr>
            <w:tcW w:type="dxa" w:w="4320"/>
          </w:tcPr>
          <w:p>
            <w:r>
              <w:rPr>
                <w:rFonts w:ascii="Calibri" w:hAnsi="Calibri"/>
                <w:b/>
                <w:sz w:val="22"/>
              </w:rPr>
              <w:t>Ticker</w:t>
            </w:r>
          </w:p>
        </w:tc>
        <w:tc>
          <w:tcPr>
            <w:tcW w:type="dxa" w:w="4320"/>
          </w:tcPr>
          <w:p>
            <w:r>
              <w:rPr>
                <w:rFonts w:ascii="Calibri" w:hAnsi="Calibri"/>
                <w:sz w:val="22"/>
              </w:rPr>
              <w:t>WMB (NYSE)</w:t>
            </w:r>
          </w:p>
        </w:tc>
      </w:tr>
      <w:tr>
        <w:tc>
          <w:tcPr>
            <w:tcW w:type="dxa" w:w="4320"/>
          </w:tcPr>
          <w:p>
            <w:r>
              <w:rPr>
                <w:rFonts w:ascii="Calibri" w:hAnsi="Calibri"/>
                <w:b/>
                <w:sz w:val="22"/>
              </w:rPr>
              <w:t>Reporting Period</w:t>
            </w:r>
          </w:p>
        </w:tc>
        <w:tc>
          <w:tcPr>
            <w:tcW w:type="dxa" w:w="4320"/>
          </w:tcPr>
          <w:p>
            <w:r>
              <w:rPr>
                <w:rFonts w:ascii="Calibri" w:hAnsi="Calibri"/>
                <w:sz w:val="22"/>
              </w:rPr>
              <w:t>Q2 2026 (quarter ended June 30, 2026)</w:t>
            </w:r>
          </w:p>
        </w:tc>
      </w:tr>
      <w:tr>
        <w:tc>
          <w:tcPr>
            <w:tcW w:type="dxa" w:w="4320"/>
          </w:tcPr>
          <w:p>
            <w:r>
              <w:rPr>
                <w:rFonts w:ascii="Calibri" w:hAnsi="Calibri"/>
                <w:b/>
                <w:sz w:val="22"/>
              </w:rPr>
              <w:t>Results Release</w:t>
            </w:r>
          </w:p>
        </w:tc>
        <w:tc>
          <w:tcPr>
            <w:tcW w:type="dxa" w:w="4320"/>
          </w:tcPr>
          <w:p>
            <w:r>
              <w:rPr>
                <w:rFonts w:ascii="Calibri" w:hAnsi="Calibri"/>
                <w:sz w:val="22"/>
              </w:rPr>
              <w:t>August 3, 2026 (after market close)</w:t>
            </w:r>
          </w:p>
        </w:tc>
      </w:tr>
      <w:tr>
        <w:tc>
          <w:tcPr>
            <w:tcW w:type="dxa" w:w="4320"/>
          </w:tcPr>
          <w:p>
            <w:r>
              <w:rPr>
                <w:rFonts w:ascii="Calibri" w:hAnsi="Calibri"/>
                <w:b/>
                <w:sz w:val="22"/>
              </w:rPr>
              <w:t>Earnings Call</w:t>
            </w:r>
          </w:p>
        </w:tc>
        <w:tc>
          <w:tcPr>
            <w:tcW w:type="dxa" w:w="4320"/>
          </w:tcPr>
          <w:p>
            <w:r>
              <w:rPr>
                <w:rFonts w:ascii="Calibri" w:hAnsi="Calibri"/>
                <w:sz w:val="22"/>
              </w:rPr>
              <w:t>August 4, 2026</w:t>
            </w:r>
          </w:p>
        </w:tc>
      </w:tr>
      <w:tr>
        <w:tc>
          <w:tcPr>
            <w:tcW w:type="dxa" w:w="4320"/>
          </w:tcPr>
          <w:p>
            <w:r>
              <w:rPr>
                <w:rFonts w:ascii="Calibri" w:hAnsi="Calibri"/>
                <w:b/>
                <w:sz w:val="22"/>
              </w:rPr>
              <w:t>Last Earnings</w:t>
            </w:r>
          </w:p>
        </w:tc>
        <w:tc>
          <w:tcPr>
            <w:tcW w:type="dxa" w:w="4320"/>
          </w:tcPr>
          <w:p>
            <w:r>
              <w:rPr>
                <w:rFonts w:ascii="Calibri" w:hAnsi="Calibri"/>
                <w:sz w:val="22"/>
              </w:rPr>
              <w:t>May 4–5, 2026 (Q1 2026)</w:t>
            </w:r>
          </w:p>
        </w:tc>
      </w:tr>
      <w:tr>
        <w:tc>
          <w:tcPr>
            <w:tcW w:type="dxa" w:w="4320"/>
          </w:tcPr>
          <w:p>
            <w:r>
              <w:rPr>
                <w:rFonts w:ascii="Calibri" w:hAnsi="Calibri"/>
                <w:b/>
                <w:sz w:val="22"/>
              </w:rPr>
              <w:t>Prepared</w:t>
            </w:r>
          </w:p>
        </w:tc>
        <w:tc>
          <w:tcPr>
            <w:tcW w:type="dxa" w:w="4320"/>
          </w:tcPr>
          <w:p>
            <w:r>
              <w:rPr>
                <w:rFonts w:ascii="Calibri" w:hAnsi="Calibri"/>
                <w:sz w:val="22"/>
              </w:rPr>
              <w:t>August 2, 2026</w:t>
            </w:r>
          </w:p>
        </w:tc>
      </w:tr>
    </w:tbl>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The setup into Q2 2026 is a manageable bar with a clear beat path on Adjusted EBITDA, but the stock's -5% underperformance since Q1 earnings reflects investor caution on leverage and CapEx scale — the July 13 Blackstone JV announcement is the single biggest swing factor heading into the print.</w:t>
      </w:r>
    </w:p>
    <w:p>
      <w:r>
        <w:rPr>
          <w:rFonts w:ascii="Calibri" w:hAnsi="Calibri"/>
          <w:color w:val="525866"/>
          <w:sz w:val="22"/>
        </w:rPr>
        <w:t xml:space="preserve">WMB heads into Q2 2026 with consensus Adjusted EBITDA at ~$1.94B, a seasonally softer quarter that management explicitly flagged on the Q1 call as a step-down before H2 acceleration. The bar is achievable: Q1 2026 delivered a record $2.25B EBITDA (+13% YoY) and management raised full-year guidance to the upper half of the $8.05–$8.35B range, implying the back half carries the weight. </w:t>
      </w:r>
      <w:r>
        <w:rPr>
          <w:rFonts w:ascii="Calibri" w:hAnsi="Calibri"/>
          <w:b/>
          <w:color w:val="525866"/>
          <w:sz w:val="22"/>
        </w:rPr>
        <w:t>Tone has shifted decisively more confident</w:t>
      </w:r>
      <w:r>
        <w:rPr>
          <w:rFonts w:ascii="Calibri" w:hAnsi="Calibri"/>
          <w:color w:val="525866"/>
          <w:sz w:val="22"/>
        </w:rPr>
        <w:t xml:space="preserve"> since Q4 2025 — management is in active execution mode on five Power Innovation projects, the Woodside LNG partnership is on track for 2029 first cargo, and NESE/SESE are under construction. Estimate revisions have been modestly positive since Q1, with FY2026 EBITDA consensus at ~$8.35B (top of guidance range) and FY2027 at ~$9.15B, tracking the 10%+ CAGR target. The stock has lagged both the S&amp;P 500 (+4.0%) and AMLP midstream ETF (+2.6%) since Q1 earnings, suggesting the market is not pricing in a beat — the multiple remains elevated vs. peers but has compressed slightly, creating a more attractive risk/reward if execution holds. The </w:t>
      </w:r>
      <w:r>
        <w:rPr>
          <w:rFonts w:ascii="Calibri" w:hAnsi="Calibri"/>
          <w:b/>
          <w:color w:val="525866"/>
          <w:sz w:val="22"/>
        </w:rPr>
        <w:t>wildcard is the July 13 Blackstone JV</w:t>
      </w:r>
      <w:r>
        <w:rPr>
          <w:rFonts w:ascii="Calibri" w:hAnsi="Calibri"/>
          <w:color w:val="525866"/>
          <w:sz w:val="22"/>
        </w:rPr>
        <w:t>: the $5.34B commitment at ~6.35% cost of equity reduces 2026E leverage to ~3.6x (from 4.1x), directly addressing the market's primary concern, and management's commentary on additional Power Innovation project wins and the 6+ GW backlog could re-rate the stock if the Q2 call delivers incremental project announcements.</w:t>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Consensus sets a seasonally soft Q2 EBITDA bar of ~$1.94B (-14% vs. Q1's record), which WMB should clear given broad segment momentum; the bigger swing factor is whether management raises FY2026 guidance again or provides incremental Power Innovation project color that lifts out-year estimates.</w:t>
      </w:r>
    </w:p>
    <w:p>
      <w:pPr>
        <w:pStyle w:val="Heading3"/>
      </w:pPr>
      <w:r>
        <w:rPr>
          <w:rFonts w:ascii="Calibri" w:hAnsi="Calibri"/>
          <w:b/>
          <w:color w:val="3B4259"/>
          <w:sz w:val="24"/>
        </w:rPr>
        <w:t>Table 1 — Current Quarter Snapshot (Q2 2026)</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Q1 2026 Actual</w:t>
            </w:r>
          </w:p>
        </w:tc>
        <w:tc>
          <w:tcPr>
            <w:tcW w:type="dxa" w:w="1234"/>
            <w:shd w:val="clear" w:color="auto" w:fill="3B4259"/>
          </w:tcPr>
          <w:p>
            <w:r>
              <w:rPr>
                <w:rFonts w:ascii="Calibri" w:hAnsi="Calibri"/>
                <w:b/>
                <w:color w:val="FFFFFF"/>
                <w:sz w:val="22"/>
              </w:rPr>
              <w:t>Q2 2025 Actual (Prior Year)</w:t>
            </w:r>
          </w:p>
        </w:tc>
        <w:tc>
          <w:tcPr>
            <w:tcW w:type="dxa" w:w="1234"/>
            <w:shd w:val="clear" w:color="auto" w:fill="3B4259"/>
          </w:tcPr>
          <w:p>
            <w:r>
              <w:rPr>
                <w:rFonts w:ascii="Calibri" w:hAnsi="Calibri"/>
                <w:b/>
                <w:color w:val="FFFFFF"/>
                <w:sz w:val="22"/>
              </w:rPr>
              <w:t>Q2 2026 Consensus Estimate</w:t>
            </w:r>
          </w:p>
        </w:tc>
        <w:tc>
          <w:tcPr>
            <w:tcW w:type="dxa" w:w="1234"/>
            <w:shd w:val="clear" w:color="auto" w:fill="3B4259"/>
          </w:tcPr>
          <w:p>
            <w:r>
              <w:rPr>
                <w:rFonts w:ascii="Calibri" w:hAnsi="Calibri"/>
                <w:b/>
                <w:color w:val="FFFFFF"/>
                <w:sz w:val="22"/>
              </w:rPr>
              <w:t>YoY Change</w:t>
            </w:r>
          </w:p>
        </w:tc>
        <w:tc>
          <w:tcPr>
            <w:tcW w:type="dxa" w:w="1234"/>
            <w:shd w:val="clear" w:color="auto" w:fill="3B4259"/>
          </w:tcPr>
          <w:p>
            <w:r>
              <w:rPr>
                <w:rFonts w:ascii="Calibri" w:hAnsi="Calibri"/>
                <w:b/>
                <w:color w:val="FFFFFF"/>
                <w:sz w:val="22"/>
              </w:rPr>
              <w:t>Guidance</w:t>
            </w:r>
          </w:p>
        </w:tc>
        <w:tc>
          <w:tcPr>
            <w:tcW w:type="dxa" w:w="1234"/>
            <w:shd w:val="clear" w:color="auto" w:fill="3B4259"/>
          </w:tcPr>
          <w:p>
            <w:r>
              <w:rPr>
                <w:rFonts w:ascii="Calibri" w:hAnsi="Calibri"/>
                <w:b/>
                <w:color w:val="FFFFFF"/>
                <w:sz w:val="22"/>
              </w:rPr>
              <w:t>Consensus vs. Guidance</w:t>
            </w:r>
          </w:p>
        </w:tc>
      </w:tr>
      <w:tr>
        <w:tc>
          <w:tcPr>
            <w:tcW w:type="dxa" w:w="1234"/>
          </w:tcPr>
          <w:p>
            <w:r>
              <w:rPr>
                <w:rFonts w:ascii="Calibri" w:hAnsi="Calibri"/>
                <w:sz w:val="22"/>
              </w:rPr>
              <w:t>Adjusted EBITDA ($B)</w:t>
            </w:r>
          </w:p>
        </w:tc>
        <w:tc>
          <w:tcPr>
            <w:tcW w:type="dxa" w:w="1234"/>
          </w:tcPr>
          <w:p>
            <w:r>
              <w:rPr>
                <w:rFonts w:ascii="Calibri" w:hAnsi="Calibri"/>
                <w:sz w:val="22"/>
              </w:rPr>
              <w:t>$2.254B</w:t>
            </w:r>
          </w:p>
        </w:tc>
        <w:tc>
          <w:tcPr>
            <w:tcW w:type="dxa" w:w="1234"/>
          </w:tcPr>
          <w:p>
            <w:r>
              <w:rPr>
                <w:rFonts w:ascii="Calibri" w:hAnsi="Calibri"/>
                <w:sz w:val="22"/>
              </w:rPr>
              <w:t>$1.808B</w:t>
            </w:r>
          </w:p>
        </w:tc>
        <w:tc>
          <w:tcPr>
            <w:tcW w:type="dxa" w:w="1234"/>
          </w:tcPr>
          <w:p>
            <w:r>
              <w:rPr>
                <w:rFonts w:ascii="Calibri" w:hAnsi="Calibri"/>
                <w:sz w:val="22"/>
              </w:rPr>
              <w:t>$1.940B</w:t>
            </w:r>
          </w:p>
        </w:tc>
        <w:tc>
          <w:tcPr>
            <w:tcW w:type="dxa" w:w="1234"/>
          </w:tcPr>
          <w:p>
            <w:r>
              <w:rPr>
                <w:rFonts w:ascii="Calibri" w:hAnsi="Calibri"/>
                <w:sz w:val="22"/>
              </w:rPr>
              <w:t>+7.3%</w:t>
            </w:r>
          </w:p>
        </w:tc>
        <w:tc>
          <w:tcPr>
            <w:tcW w:type="dxa" w:w="1234"/>
          </w:tcPr>
          <w:p>
            <w:r>
              <w:rPr>
                <w:rFonts w:ascii="Calibri" w:hAnsi="Calibri"/>
                <w:sz w:val="22"/>
              </w:rPr>
              <w:t>Upper half of $8.05–$8.35B FY range (implies ~$1.9–$2.0B Q2)</w:t>
            </w:r>
          </w:p>
        </w:tc>
        <w:tc>
          <w:tcPr>
            <w:tcW w:type="dxa" w:w="1234"/>
          </w:tcPr>
          <w:p>
            <w:r>
              <w:rPr>
                <w:rFonts w:ascii="Calibri" w:hAnsi="Calibri"/>
                <w:sz w:val="22"/>
              </w:rPr>
              <w:t>~In line</w:t>
            </w:r>
          </w:p>
        </w:tc>
      </w:tr>
      <w:tr>
        <w:tc>
          <w:tcPr>
            <w:tcW w:type="dxa" w:w="1234"/>
          </w:tcPr>
          <w:p>
            <w:r>
              <w:rPr>
                <w:rFonts w:ascii="Calibri" w:hAnsi="Calibri"/>
                <w:sz w:val="22"/>
              </w:rPr>
              <w:t>Total Revenue ($B)</w:t>
            </w:r>
          </w:p>
        </w:tc>
        <w:tc>
          <w:tcPr>
            <w:tcW w:type="dxa" w:w="1234"/>
          </w:tcPr>
          <w:p>
            <w:r>
              <w:rPr>
                <w:rFonts w:ascii="Calibri" w:hAnsi="Calibri"/>
                <w:sz w:val="22"/>
              </w:rPr>
              <w:t>$3.030B</w:t>
            </w:r>
          </w:p>
        </w:tc>
        <w:tc>
          <w:tcPr>
            <w:tcW w:type="dxa" w:w="1234"/>
          </w:tcPr>
          <w:p>
            <w:r>
              <w:rPr>
                <w:rFonts w:ascii="Calibri" w:hAnsi="Calibri"/>
                <w:sz w:val="22"/>
              </w:rPr>
              <w:t>$2.781B</w:t>
            </w:r>
          </w:p>
        </w:tc>
        <w:tc>
          <w:tcPr>
            <w:tcW w:type="dxa" w:w="1234"/>
          </w:tcPr>
          <w:p>
            <w:r>
              <w:rPr>
                <w:rFonts w:ascii="Calibri" w:hAnsi="Calibri"/>
                <w:sz w:val="22"/>
              </w:rPr>
              <w:t>$2.827B</w:t>
            </w:r>
          </w:p>
        </w:tc>
        <w:tc>
          <w:tcPr>
            <w:tcW w:type="dxa" w:w="1234"/>
          </w:tcPr>
          <w:p>
            <w:r>
              <w:rPr>
                <w:rFonts w:ascii="Calibri" w:hAnsi="Calibri"/>
                <w:sz w:val="22"/>
              </w:rPr>
              <w:t>+1.7%</w:t>
            </w:r>
          </w:p>
        </w:tc>
        <w:tc>
          <w:tcPr>
            <w:tcW w:type="dxa" w:w="1234"/>
          </w:tcPr>
          <w:p>
            <w:r>
              <w:rPr>
                <w:rFonts w:ascii="Calibri" w:hAnsi="Calibri"/>
                <w:sz w:val="22"/>
              </w:rPr>
              <w:t>No specific quarterly guidance</w:t>
            </w:r>
          </w:p>
        </w:tc>
        <w:tc>
          <w:tcPr>
            <w:tcW w:type="dxa" w:w="1234"/>
          </w:tcPr>
          <w:p>
            <w:r>
              <w:rPr>
                <w:rFonts w:ascii="Calibri" w:hAnsi="Calibri"/>
                <w:sz w:val="22"/>
              </w:rPr>
              <w:t>N/A</w:t>
            </w:r>
          </w:p>
        </w:tc>
      </w:tr>
      <w:tr>
        <w:tc>
          <w:tcPr>
            <w:tcW w:type="dxa" w:w="1234"/>
          </w:tcPr>
          <w:p>
            <w:r>
              <w:rPr>
                <w:rFonts w:ascii="Calibri" w:hAnsi="Calibri"/>
                <w:sz w:val="22"/>
              </w:rPr>
              <w:t>Operating EPS (Diluted, $)</w:t>
            </w:r>
          </w:p>
        </w:tc>
        <w:tc>
          <w:tcPr>
            <w:tcW w:type="dxa" w:w="1234"/>
          </w:tcPr>
          <w:p>
            <w:r>
              <w:rPr>
                <w:rFonts w:ascii="Calibri" w:hAnsi="Calibri"/>
                <w:sz w:val="22"/>
              </w:rPr>
              <w:t>$0.73</w:t>
            </w:r>
          </w:p>
        </w:tc>
        <w:tc>
          <w:tcPr>
            <w:tcW w:type="dxa" w:w="1234"/>
          </w:tcPr>
          <w:p>
            <w:r>
              <w:rPr>
                <w:rFonts w:ascii="Calibri" w:hAnsi="Calibri"/>
                <w:sz w:val="22"/>
              </w:rPr>
              <w:t>$0.46</w:t>
            </w:r>
          </w:p>
        </w:tc>
        <w:tc>
          <w:tcPr>
            <w:tcW w:type="dxa" w:w="1234"/>
          </w:tcPr>
          <w:p>
            <w:r>
              <w:rPr>
                <w:rFonts w:ascii="Calibri" w:hAnsi="Calibri"/>
                <w:sz w:val="22"/>
              </w:rPr>
              <w:t>$0.504</w:t>
            </w:r>
          </w:p>
        </w:tc>
        <w:tc>
          <w:tcPr>
            <w:tcW w:type="dxa" w:w="1234"/>
          </w:tcPr>
          <w:p>
            <w:r>
              <w:rPr>
                <w:rFonts w:ascii="Calibri" w:hAnsi="Calibri"/>
                <w:sz w:val="22"/>
              </w:rPr>
              <w:t>+9.6%</w:t>
            </w:r>
          </w:p>
        </w:tc>
        <w:tc>
          <w:tcPr>
            <w:tcW w:type="dxa" w:w="1234"/>
          </w:tcPr>
          <w:p>
            <w:r>
              <w:rPr>
                <w:rFonts w:ascii="Calibri" w:hAnsi="Calibri"/>
                <w:sz w:val="22"/>
              </w:rPr>
              <w:t>No specific quarterly guidance</w:t>
            </w:r>
          </w:p>
        </w:tc>
        <w:tc>
          <w:tcPr>
            <w:tcW w:type="dxa" w:w="1234"/>
          </w:tcPr>
          <w:p>
            <w:r>
              <w:rPr>
                <w:rFonts w:ascii="Calibri" w:hAnsi="Calibri"/>
                <w:sz w:val="22"/>
              </w:rPr>
              <w:t>N/A</w:t>
            </w:r>
          </w:p>
        </w:tc>
      </w:tr>
      <w:tr>
        <w:tc>
          <w:tcPr>
            <w:tcW w:type="dxa" w:w="1234"/>
          </w:tcPr>
          <w:p>
            <w:r>
              <w:rPr>
                <w:rFonts w:ascii="Calibri" w:hAnsi="Calibri"/>
                <w:sz w:val="22"/>
              </w:rPr>
              <w:t>Available Funds from Operations ($B)</w:t>
            </w:r>
          </w:p>
        </w:tc>
        <w:tc>
          <w:tcPr>
            <w:tcW w:type="dxa" w:w="1234"/>
          </w:tcPr>
          <w:p>
            <w:r>
              <w:rPr>
                <w:rFonts w:ascii="Calibri" w:hAnsi="Calibri"/>
                <w:sz w:val="22"/>
              </w:rPr>
              <w:t>$1.770B</w:t>
            </w:r>
          </w:p>
        </w:tc>
        <w:tc>
          <w:tcPr>
            <w:tcW w:type="dxa" w:w="1234"/>
          </w:tcPr>
          <w:p>
            <w:r>
              <w:rPr>
                <w:rFonts w:ascii="Calibri" w:hAnsi="Calibri"/>
                <w:sz w:val="22"/>
              </w:rPr>
              <w:t>$1.317B</w:t>
            </w:r>
          </w:p>
        </w:tc>
        <w:tc>
          <w:tcPr>
            <w:tcW w:type="dxa" w:w="1234"/>
          </w:tcPr>
          <w:p>
            <w:r>
              <w:rPr>
                <w:rFonts w:ascii="Calibri" w:hAnsi="Calibri"/>
                <w:sz w:val="22"/>
              </w:rPr>
              <w:t>$1.450B</w:t>
            </w:r>
          </w:p>
        </w:tc>
        <w:tc>
          <w:tcPr>
            <w:tcW w:type="dxa" w:w="1234"/>
          </w:tcPr>
          <w:p>
            <w:r>
              <w:rPr>
                <w:rFonts w:ascii="Calibri" w:hAnsi="Calibri"/>
                <w:sz w:val="22"/>
              </w:rPr>
              <w:t>+10.1%</w:t>
            </w:r>
          </w:p>
        </w:tc>
        <w:tc>
          <w:tcPr>
            <w:tcW w:type="dxa" w:w="1234"/>
          </w:tcPr>
          <w:p>
            <w:r>
              <w:rPr>
                <w:rFonts w:ascii="Calibri" w:hAnsi="Calibri"/>
                <w:sz w:val="22"/>
              </w:rPr>
              <w:t>No specific quarterly guidance</w:t>
            </w:r>
          </w:p>
        </w:tc>
        <w:tc>
          <w:tcPr>
            <w:tcW w:type="dxa" w:w="1234"/>
          </w:tcPr>
          <w:p>
            <w:r>
              <w:rPr>
                <w:rFonts w:ascii="Calibri" w:hAnsi="Calibri"/>
                <w:sz w:val="22"/>
              </w:rPr>
              <w:t>N/A</w:t>
            </w:r>
          </w:p>
        </w:tc>
      </w:tr>
      <w:tr>
        <w:tc>
          <w:tcPr>
            <w:tcW w:type="dxa" w:w="1234"/>
          </w:tcPr>
          <w:p>
            <w:r>
              <w:rPr>
                <w:rFonts w:ascii="Calibri" w:hAnsi="Calibri"/>
                <w:sz w:val="22"/>
              </w:rPr>
              <w:t>Capital Expenditures ($B)</w:t>
            </w:r>
          </w:p>
        </w:tc>
        <w:tc>
          <w:tcPr>
            <w:tcW w:type="dxa" w:w="1234"/>
          </w:tcPr>
          <w:p>
            <w:r>
              <w:rPr>
                <w:rFonts w:ascii="Calibri" w:hAnsi="Calibri"/>
                <w:sz w:val="22"/>
              </w:rPr>
              <w:t>$1.359B</w:t>
            </w:r>
          </w:p>
        </w:tc>
        <w:tc>
          <w:tcPr>
            <w:tcW w:type="dxa" w:w="1234"/>
          </w:tcPr>
          <w:p>
            <w:r>
              <w:rPr>
                <w:rFonts w:ascii="Calibri" w:hAnsi="Calibri"/>
                <w:sz w:val="22"/>
              </w:rPr>
              <w:t>$0.972B</w:t>
            </w:r>
          </w:p>
        </w:tc>
        <w:tc>
          <w:tcPr>
            <w:tcW w:type="dxa" w:w="1234"/>
          </w:tcPr>
          <w:p>
            <w:r>
              <w:rPr>
                <w:rFonts w:ascii="Calibri" w:hAnsi="Calibri"/>
                <w:sz w:val="22"/>
              </w:rPr>
              <w:t>$2.229B</w:t>
            </w:r>
          </w:p>
        </w:tc>
        <w:tc>
          <w:tcPr>
            <w:tcW w:type="dxa" w:w="1234"/>
          </w:tcPr>
          <w:p>
            <w:r>
              <w:rPr>
                <w:rFonts w:ascii="Calibri" w:hAnsi="Calibri"/>
                <w:sz w:val="22"/>
              </w:rPr>
              <w:t>+129.3%</w:t>
            </w:r>
          </w:p>
        </w:tc>
        <w:tc>
          <w:tcPr>
            <w:tcW w:type="dxa" w:w="1234"/>
          </w:tcPr>
          <w:p>
            <w:r>
              <w:rPr>
                <w:rFonts w:ascii="Calibri" w:hAnsi="Calibri"/>
                <w:sz w:val="22"/>
              </w:rPr>
              <w:t>$7.0–$7.6B FY2026 growth CapEx</w:t>
            </w:r>
          </w:p>
        </w:tc>
        <w:tc>
          <w:tcPr>
            <w:tcW w:type="dxa" w:w="1234"/>
          </w:tcPr>
          <w:p>
            <w:r>
              <w:rPr>
                <w:rFonts w:ascii="Calibri" w:hAnsi="Calibri"/>
                <w:sz w:val="22"/>
              </w:rPr>
              <w:t>N/A (quarterly timing)</w:t>
            </w:r>
          </w:p>
        </w:tc>
      </w:tr>
      <w:tr>
        <w:tc>
          <w:tcPr>
            <w:tcW w:type="dxa" w:w="1234"/>
          </w:tcPr>
          <w:p>
            <w:r>
              <w:rPr>
                <w:rFonts w:ascii="Calibri" w:hAnsi="Calibri"/>
                <w:sz w:val="22"/>
              </w:rPr>
              <w:t>EBITDA — Transmission &amp; Gulf of Mexico ($B)</w:t>
            </w:r>
          </w:p>
        </w:tc>
        <w:tc>
          <w:tcPr>
            <w:tcW w:type="dxa" w:w="1234"/>
          </w:tcPr>
          <w:p>
            <w:r>
              <w:rPr>
                <w:rFonts w:ascii="Calibri" w:hAnsi="Calibri"/>
                <w:sz w:val="22"/>
              </w:rPr>
              <w:t>$1.010B</w:t>
            </w:r>
          </w:p>
        </w:tc>
        <w:tc>
          <w:tcPr>
            <w:tcW w:type="dxa" w:w="1234"/>
          </w:tcPr>
          <w:p>
            <w:r>
              <w:rPr>
                <w:rFonts w:ascii="Calibri" w:hAnsi="Calibri"/>
                <w:sz w:val="22"/>
              </w:rPr>
              <w:t>$0.903B</w:t>
            </w:r>
          </w:p>
        </w:tc>
        <w:tc>
          <w:tcPr>
            <w:tcW w:type="dxa" w:w="1234"/>
          </w:tcPr>
          <w:p>
            <w:r>
              <w:rPr>
                <w:rFonts w:ascii="Calibri" w:hAnsi="Calibri"/>
                <w:sz w:val="22"/>
              </w:rPr>
              <w:t>$0.991B</w:t>
            </w:r>
          </w:p>
        </w:tc>
        <w:tc>
          <w:tcPr>
            <w:tcW w:type="dxa" w:w="1234"/>
          </w:tcPr>
          <w:p>
            <w:r>
              <w:rPr>
                <w:rFonts w:ascii="Calibri" w:hAnsi="Calibri"/>
                <w:sz w:val="22"/>
              </w:rPr>
              <w:t>+9.7%</w:t>
            </w:r>
          </w:p>
        </w:tc>
        <w:tc>
          <w:tcPr>
            <w:tcW w:type="dxa" w:w="1234"/>
          </w:tcPr>
          <w:p>
            <w:r>
              <w:rPr>
                <w:rFonts w:ascii="Calibri" w:hAnsi="Calibri"/>
                <w:sz w:val="22"/>
              </w:rPr>
              <w:t>No specific segment guidance</w:t>
            </w:r>
          </w:p>
        </w:tc>
        <w:tc>
          <w:tcPr>
            <w:tcW w:type="dxa" w:w="1234"/>
          </w:tcPr>
          <w:p>
            <w:r>
              <w:rPr>
                <w:rFonts w:ascii="Calibri" w:hAnsi="Calibri"/>
                <w:sz w:val="22"/>
              </w:rPr>
              <w:t>N/A</w:t>
            </w:r>
          </w:p>
        </w:tc>
      </w:tr>
      <w:tr>
        <w:tc>
          <w:tcPr>
            <w:tcW w:type="dxa" w:w="1234"/>
          </w:tcPr>
          <w:p>
            <w:r>
              <w:rPr>
                <w:rFonts w:ascii="Calibri" w:hAnsi="Calibri"/>
                <w:sz w:val="22"/>
              </w:rPr>
              <w:t>EBITDA — Northeast G&amp;P ($B)</w:t>
            </w:r>
          </w:p>
        </w:tc>
        <w:tc>
          <w:tcPr>
            <w:tcW w:type="dxa" w:w="1234"/>
          </w:tcPr>
          <w:p>
            <w:r>
              <w:rPr>
                <w:rFonts w:ascii="Calibri" w:hAnsi="Calibri"/>
                <w:sz w:val="22"/>
              </w:rPr>
              <w:t>$0.524B</w:t>
            </w:r>
          </w:p>
        </w:tc>
        <w:tc>
          <w:tcPr>
            <w:tcW w:type="dxa" w:w="1234"/>
          </w:tcPr>
          <w:p>
            <w:r>
              <w:rPr>
                <w:rFonts w:ascii="Calibri" w:hAnsi="Calibri"/>
                <w:sz w:val="22"/>
              </w:rPr>
              <w:t>$0.501B</w:t>
            </w:r>
          </w:p>
        </w:tc>
        <w:tc>
          <w:tcPr>
            <w:tcW w:type="dxa" w:w="1234"/>
          </w:tcPr>
          <w:p>
            <w:r>
              <w:rPr>
                <w:rFonts w:ascii="Calibri" w:hAnsi="Calibri"/>
                <w:sz w:val="22"/>
              </w:rPr>
              <w:t>$0.514B</w:t>
            </w:r>
          </w:p>
        </w:tc>
        <w:tc>
          <w:tcPr>
            <w:tcW w:type="dxa" w:w="1234"/>
          </w:tcPr>
          <w:p>
            <w:r>
              <w:rPr>
                <w:rFonts w:ascii="Calibri" w:hAnsi="Calibri"/>
                <w:sz w:val="22"/>
              </w:rPr>
              <w:t>+2.6%</w:t>
            </w:r>
          </w:p>
        </w:tc>
        <w:tc>
          <w:tcPr>
            <w:tcW w:type="dxa" w:w="1234"/>
          </w:tcPr>
          <w:p>
            <w:r>
              <w:rPr>
                <w:rFonts w:ascii="Calibri" w:hAnsi="Calibri"/>
                <w:sz w:val="22"/>
              </w:rPr>
              <w:t>No specific segment guidance</w:t>
            </w:r>
          </w:p>
        </w:tc>
        <w:tc>
          <w:tcPr>
            <w:tcW w:type="dxa" w:w="1234"/>
          </w:tcPr>
          <w:p>
            <w:r>
              <w:rPr>
                <w:rFonts w:ascii="Calibri" w:hAnsi="Calibri"/>
                <w:sz w:val="22"/>
              </w:rPr>
              <w:t>N/A</w:t>
            </w:r>
          </w:p>
        </w:tc>
      </w:tr>
      <w:tr>
        <w:tc>
          <w:tcPr>
            <w:tcW w:type="dxa" w:w="1234"/>
          </w:tcPr>
          <w:p>
            <w:r>
              <w:rPr>
                <w:rFonts w:ascii="Calibri" w:hAnsi="Calibri"/>
                <w:sz w:val="22"/>
              </w:rPr>
              <w:t>EBITDA — West ($B)</w:t>
            </w:r>
          </w:p>
        </w:tc>
        <w:tc>
          <w:tcPr>
            <w:tcW w:type="dxa" w:w="1234"/>
          </w:tcPr>
          <w:p>
            <w:r>
              <w:rPr>
                <w:rFonts w:ascii="Calibri" w:hAnsi="Calibri"/>
                <w:sz w:val="22"/>
              </w:rPr>
              <w:t>$0.410B</w:t>
            </w:r>
          </w:p>
        </w:tc>
        <w:tc>
          <w:tcPr>
            <w:tcW w:type="dxa" w:w="1234"/>
          </w:tcPr>
          <w:p>
            <w:r>
              <w:rPr>
                <w:rFonts w:ascii="Calibri" w:hAnsi="Calibri"/>
                <w:sz w:val="22"/>
              </w:rPr>
              <w:t>$0.341B</w:t>
            </w:r>
          </w:p>
        </w:tc>
        <w:tc>
          <w:tcPr>
            <w:tcW w:type="dxa" w:w="1234"/>
          </w:tcPr>
          <w:p>
            <w:r>
              <w:rPr>
                <w:rFonts w:ascii="Calibri" w:hAnsi="Calibri"/>
                <w:sz w:val="22"/>
              </w:rPr>
              <w:t>$0.388B</w:t>
            </w:r>
          </w:p>
        </w:tc>
        <w:tc>
          <w:tcPr>
            <w:tcW w:type="dxa" w:w="1234"/>
          </w:tcPr>
          <w:p>
            <w:r>
              <w:rPr>
                <w:rFonts w:ascii="Calibri" w:hAnsi="Calibri"/>
                <w:sz w:val="22"/>
              </w:rPr>
              <w:t>+13.8%</w:t>
            </w:r>
          </w:p>
        </w:tc>
        <w:tc>
          <w:tcPr>
            <w:tcW w:type="dxa" w:w="1234"/>
          </w:tcPr>
          <w:p>
            <w:r>
              <w:rPr>
                <w:rFonts w:ascii="Calibri" w:hAnsi="Calibri"/>
                <w:sz w:val="22"/>
              </w:rPr>
              <w:t>No specific segment guidance</w:t>
            </w:r>
          </w:p>
        </w:tc>
        <w:tc>
          <w:tcPr>
            <w:tcW w:type="dxa" w:w="1234"/>
          </w:tcPr>
          <w:p>
            <w:r>
              <w:rPr>
                <w:rFonts w:ascii="Calibri" w:hAnsi="Calibri"/>
                <w:sz w:val="22"/>
              </w:rPr>
              <w:t>N/A</w:t>
            </w:r>
          </w:p>
        </w:tc>
      </w:tr>
    </w:tbl>
    <w:p>
      <w:r>
        <w:rPr>
          <w:rFonts w:ascii="Calibri" w:hAnsi="Calibri"/>
          <w:i/>
          <w:color w:val="525866"/>
          <w:sz w:val="22"/>
        </w:rPr>
        <w:t>Source: Visible Alpha Consensus and Actuals Data. All consensus figures as of latest available (August 2, 2026). Q2 2026 Adjusted EBITDA consensus of $1.940B reflects seasonal step-down management guided to on the Q1 2026 call; YoY growth of +7.3% is consistent with the company's stated ~9% base CAGR trajectory.</w:t>
      </w:r>
    </w:p>
    <w:p>
      <w:pPr>
        <w:pStyle w:val="Heading3"/>
      </w:pPr>
      <w:r>
        <w:rPr>
          <w:rFonts w:ascii="Calibri" w:hAnsi="Calibri"/>
          <w:b/>
          <w:color w:val="3B4259"/>
          <w:sz w:val="24"/>
        </w:rPr>
        <w:t>Table 2 — Beat/Miss History (Last 8 Quarters, Top 2 KPIs)</w:t>
      </w:r>
    </w:p>
    <w:p>
      <w:r>
        <w:rPr>
          <w:rFonts w:ascii="Calibri" w:hAnsi="Calibri"/>
          <w:b/>
          <w:color w:val="525866"/>
          <w:sz w:val="22"/>
        </w:rPr>
        <w:t>KPI 1: Adjusted EBITDA</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 ($B)</w:t>
            </w:r>
          </w:p>
        </w:tc>
        <w:tc>
          <w:tcPr>
            <w:tcW w:type="dxa" w:w="1728"/>
            <w:shd w:val="clear" w:color="auto" w:fill="3B4259"/>
          </w:tcPr>
          <w:p>
            <w:r>
              <w:rPr>
                <w:rFonts w:ascii="Calibri" w:hAnsi="Calibri"/>
                <w:b/>
                <w:color w:val="FFFFFF"/>
                <w:sz w:val="22"/>
              </w:rPr>
              <w:t>Consensus ($B)</w:t>
            </w:r>
          </w:p>
        </w:tc>
        <w:tc>
          <w:tcPr>
            <w:tcW w:type="dxa" w:w="1728"/>
            <w:shd w:val="clear" w:color="auto" w:fill="3B4259"/>
          </w:tcPr>
          <w:p>
            <w:r>
              <w:rPr>
                <w:rFonts w:ascii="Calibri" w:hAnsi="Calibri"/>
                <w:b/>
                <w:color w:val="FFFFFF"/>
                <w:sz w:val="22"/>
              </w:rPr>
              <w:t>Surprise %</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Q2 2024</w:t>
            </w:r>
          </w:p>
        </w:tc>
        <w:tc>
          <w:tcPr>
            <w:tcW w:type="dxa" w:w="1728"/>
          </w:tcPr>
          <w:p>
            <w:r>
              <w:rPr>
                <w:rFonts w:ascii="Calibri" w:hAnsi="Calibri"/>
                <w:sz w:val="22"/>
              </w:rPr>
              <w:t>$1.667B</w:t>
            </w:r>
          </w:p>
        </w:tc>
        <w:tc>
          <w:tcPr>
            <w:tcW w:type="dxa" w:w="1728"/>
          </w:tcPr>
          <w:p>
            <w:r>
              <w:rPr>
                <w:rFonts w:ascii="Calibri" w:hAnsi="Calibri"/>
                <w:sz w:val="22"/>
              </w:rPr>
              <w:t>$1.646B</w:t>
            </w:r>
          </w:p>
        </w:tc>
        <w:tc>
          <w:tcPr>
            <w:tcW w:type="dxa" w:w="1728"/>
          </w:tcPr>
          <w:p>
            <w:r>
              <w:rPr>
                <w:rFonts w:ascii="Calibri" w:hAnsi="Calibri"/>
                <w:sz w:val="22"/>
              </w:rPr>
              <w:t>+1.3%</w:t>
            </w:r>
          </w:p>
        </w:tc>
        <w:tc>
          <w:tcPr>
            <w:tcW w:type="dxa" w:w="1728"/>
          </w:tcPr>
          <w:p>
            <w:r>
              <w:rPr>
                <w:rFonts w:ascii="Calibri" w:hAnsi="Calibri"/>
                <w:b/>
                <w:color w:val="30A46C"/>
                <w:sz w:val="22"/>
              </w:rPr>
              <w:t>Beat</w:t>
            </w:r>
          </w:p>
        </w:tc>
      </w:tr>
      <w:tr>
        <w:tc>
          <w:tcPr>
            <w:tcW w:type="dxa" w:w="1728"/>
          </w:tcPr>
          <w:p>
            <w:r>
              <w:rPr>
                <w:rFonts w:ascii="Calibri" w:hAnsi="Calibri"/>
                <w:sz w:val="22"/>
              </w:rPr>
              <w:t>Q3 2024</w:t>
            </w:r>
          </w:p>
        </w:tc>
        <w:tc>
          <w:tcPr>
            <w:tcW w:type="dxa" w:w="1728"/>
          </w:tcPr>
          <w:p>
            <w:r>
              <w:rPr>
                <w:rFonts w:ascii="Calibri" w:hAnsi="Calibri"/>
                <w:sz w:val="22"/>
              </w:rPr>
              <w:t>$1.703B</w:t>
            </w:r>
          </w:p>
        </w:tc>
        <w:tc>
          <w:tcPr>
            <w:tcW w:type="dxa" w:w="1728"/>
          </w:tcPr>
          <w:p>
            <w:r>
              <w:rPr>
                <w:rFonts w:ascii="Calibri" w:hAnsi="Calibri"/>
                <w:sz w:val="22"/>
              </w:rPr>
              <w:t>$1.694B</w:t>
            </w:r>
          </w:p>
        </w:tc>
        <w:tc>
          <w:tcPr>
            <w:tcW w:type="dxa" w:w="1728"/>
          </w:tcPr>
          <w:p>
            <w:r>
              <w:rPr>
                <w:rFonts w:ascii="Calibri" w:hAnsi="Calibri"/>
                <w:sz w:val="22"/>
              </w:rPr>
              <w:t>+0.5%</w:t>
            </w:r>
          </w:p>
        </w:tc>
        <w:tc>
          <w:tcPr>
            <w:tcW w:type="dxa" w:w="1728"/>
          </w:tcPr>
          <w:p>
            <w:r>
              <w:rPr>
                <w:rFonts w:ascii="Calibri" w:hAnsi="Calibri"/>
                <w:b/>
                <w:color w:val="30A46C"/>
                <w:sz w:val="22"/>
              </w:rPr>
              <w:t>Beat</w:t>
            </w:r>
          </w:p>
        </w:tc>
      </w:tr>
      <w:tr>
        <w:tc>
          <w:tcPr>
            <w:tcW w:type="dxa" w:w="1728"/>
          </w:tcPr>
          <w:p>
            <w:r>
              <w:rPr>
                <w:rFonts w:ascii="Calibri" w:hAnsi="Calibri"/>
                <w:sz w:val="22"/>
              </w:rPr>
              <w:t>Q4 2024</w:t>
            </w:r>
          </w:p>
        </w:tc>
        <w:tc>
          <w:tcPr>
            <w:tcW w:type="dxa" w:w="1728"/>
          </w:tcPr>
          <w:p>
            <w:r>
              <w:rPr>
                <w:rFonts w:ascii="Calibri" w:hAnsi="Calibri"/>
                <w:sz w:val="22"/>
              </w:rPr>
              <w:t>$1.776B</w:t>
            </w:r>
          </w:p>
        </w:tc>
        <w:tc>
          <w:tcPr>
            <w:tcW w:type="dxa" w:w="1728"/>
          </w:tcPr>
          <w:p>
            <w:r>
              <w:rPr>
                <w:rFonts w:ascii="Calibri" w:hAnsi="Calibri"/>
                <w:sz w:val="22"/>
              </w:rPr>
              <w:t>$1.780B</w:t>
            </w:r>
          </w:p>
        </w:tc>
        <w:tc>
          <w:tcPr>
            <w:tcW w:type="dxa" w:w="1728"/>
          </w:tcPr>
          <w:p>
            <w:r>
              <w:rPr>
                <w:rFonts w:ascii="Calibri" w:hAnsi="Calibri"/>
                <w:sz w:val="22"/>
              </w:rPr>
              <w:t>-0.2%</w:t>
            </w:r>
          </w:p>
        </w:tc>
        <w:tc>
          <w:tcPr>
            <w:tcW w:type="dxa" w:w="1728"/>
          </w:tcPr>
          <w:p>
            <w:r>
              <w:rPr>
                <w:rFonts w:ascii="Calibri" w:hAnsi="Calibri"/>
                <w:b/>
                <w:color w:val="E5484D"/>
                <w:sz w:val="22"/>
              </w:rPr>
              <w:t>Miss</w:t>
            </w:r>
          </w:p>
        </w:tc>
      </w:tr>
      <w:tr>
        <w:tc>
          <w:tcPr>
            <w:tcW w:type="dxa" w:w="1728"/>
          </w:tcPr>
          <w:p>
            <w:r>
              <w:rPr>
                <w:rFonts w:ascii="Calibri" w:hAnsi="Calibri"/>
                <w:sz w:val="22"/>
              </w:rPr>
              <w:t>Q1 2025</w:t>
            </w:r>
          </w:p>
        </w:tc>
        <w:tc>
          <w:tcPr>
            <w:tcW w:type="dxa" w:w="1728"/>
          </w:tcPr>
          <w:p>
            <w:r>
              <w:rPr>
                <w:rFonts w:ascii="Calibri" w:hAnsi="Calibri"/>
                <w:sz w:val="22"/>
              </w:rPr>
              <w:t>$1.989B</w:t>
            </w:r>
          </w:p>
        </w:tc>
        <w:tc>
          <w:tcPr>
            <w:tcW w:type="dxa" w:w="1728"/>
          </w:tcPr>
          <w:p>
            <w:r>
              <w:rPr>
                <w:rFonts w:ascii="Calibri" w:hAnsi="Calibri"/>
                <w:sz w:val="22"/>
              </w:rPr>
              <w:t>$1.939B</w:t>
            </w:r>
          </w:p>
        </w:tc>
        <w:tc>
          <w:tcPr>
            <w:tcW w:type="dxa" w:w="1728"/>
          </w:tcPr>
          <w:p>
            <w:r>
              <w:rPr>
                <w:rFonts w:ascii="Calibri" w:hAnsi="Calibri"/>
                <w:sz w:val="22"/>
              </w:rPr>
              <w:t>+2.6%</w:t>
            </w:r>
          </w:p>
        </w:tc>
        <w:tc>
          <w:tcPr>
            <w:tcW w:type="dxa" w:w="1728"/>
          </w:tcPr>
          <w:p>
            <w:r>
              <w:rPr>
                <w:rFonts w:ascii="Calibri" w:hAnsi="Calibri"/>
                <w:b/>
                <w:color w:val="30A46C"/>
                <w:sz w:val="22"/>
              </w:rPr>
              <w:t>Beat</w:t>
            </w:r>
          </w:p>
        </w:tc>
      </w:tr>
      <w:tr>
        <w:tc>
          <w:tcPr>
            <w:tcW w:type="dxa" w:w="1728"/>
          </w:tcPr>
          <w:p>
            <w:r>
              <w:rPr>
                <w:rFonts w:ascii="Calibri" w:hAnsi="Calibri"/>
                <w:sz w:val="22"/>
              </w:rPr>
              <w:t>Q2 2025</w:t>
            </w:r>
          </w:p>
        </w:tc>
        <w:tc>
          <w:tcPr>
            <w:tcW w:type="dxa" w:w="1728"/>
          </w:tcPr>
          <w:p>
            <w:r>
              <w:rPr>
                <w:rFonts w:ascii="Calibri" w:hAnsi="Calibri"/>
                <w:sz w:val="22"/>
              </w:rPr>
              <w:t>$1.808B</w:t>
            </w:r>
          </w:p>
        </w:tc>
        <w:tc>
          <w:tcPr>
            <w:tcW w:type="dxa" w:w="1728"/>
          </w:tcPr>
          <w:p>
            <w:r>
              <w:rPr>
                <w:rFonts w:ascii="Calibri" w:hAnsi="Calibri"/>
                <w:sz w:val="22"/>
              </w:rPr>
              <w:t>$1.817B</w:t>
            </w:r>
          </w:p>
        </w:tc>
        <w:tc>
          <w:tcPr>
            <w:tcW w:type="dxa" w:w="1728"/>
          </w:tcPr>
          <w:p>
            <w:r>
              <w:rPr>
                <w:rFonts w:ascii="Calibri" w:hAnsi="Calibri"/>
                <w:sz w:val="22"/>
              </w:rPr>
              <w:t>-0.5%</w:t>
            </w:r>
          </w:p>
        </w:tc>
        <w:tc>
          <w:tcPr>
            <w:tcW w:type="dxa" w:w="1728"/>
          </w:tcPr>
          <w:p>
            <w:r>
              <w:rPr>
                <w:rFonts w:ascii="Calibri" w:hAnsi="Calibri"/>
                <w:b/>
                <w:color w:val="E5484D"/>
                <w:sz w:val="22"/>
              </w:rPr>
              <w:t>Miss</w:t>
            </w:r>
          </w:p>
        </w:tc>
      </w:tr>
      <w:tr>
        <w:tc>
          <w:tcPr>
            <w:tcW w:type="dxa" w:w="1728"/>
          </w:tcPr>
          <w:p>
            <w:r>
              <w:rPr>
                <w:rFonts w:ascii="Calibri" w:hAnsi="Calibri"/>
                <w:sz w:val="22"/>
              </w:rPr>
              <w:t>Q3 2025</w:t>
            </w:r>
          </w:p>
        </w:tc>
        <w:tc>
          <w:tcPr>
            <w:tcW w:type="dxa" w:w="1728"/>
          </w:tcPr>
          <w:p>
            <w:r>
              <w:rPr>
                <w:rFonts w:ascii="Calibri" w:hAnsi="Calibri"/>
                <w:sz w:val="22"/>
              </w:rPr>
              <w:t>$1.920B</w:t>
            </w:r>
          </w:p>
        </w:tc>
        <w:tc>
          <w:tcPr>
            <w:tcW w:type="dxa" w:w="1728"/>
          </w:tcPr>
          <w:p>
            <w:r>
              <w:rPr>
                <w:rFonts w:ascii="Calibri" w:hAnsi="Calibri"/>
                <w:sz w:val="22"/>
              </w:rPr>
              <w:t>$1.920B</w:t>
            </w:r>
          </w:p>
        </w:tc>
        <w:tc>
          <w:tcPr>
            <w:tcW w:type="dxa" w:w="1728"/>
          </w:tcPr>
          <w:p>
            <w:r>
              <w:rPr>
                <w:rFonts w:ascii="Calibri" w:hAnsi="Calibri"/>
                <w:sz w:val="22"/>
              </w:rPr>
              <w:t>0.0%</w:t>
            </w:r>
          </w:p>
        </w:tc>
        <w:tc>
          <w:tcPr>
            <w:tcW w:type="dxa" w:w="1728"/>
          </w:tcPr>
          <w:p>
            <w:r>
              <w:rPr>
                <w:rFonts w:ascii="Calibri" w:hAnsi="Calibri"/>
                <w:sz w:val="22"/>
              </w:rPr>
              <w:t>In Line</w:t>
            </w:r>
          </w:p>
        </w:tc>
      </w:tr>
      <w:tr>
        <w:tc>
          <w:tcPr>
            <w:tcW w:type="dxa" w:w="1728"/>
          </w:tcPr>
          <w:p>
            <w:r>
              <w:rPr>
                <w:rFonts w:ascii="Calibri" w:hAnsi="Calibri"/>
                <w:sz w:val="22"/>
              </w:rPr>
              <w:t>Q4 2025</w:t>
            </w:r>
          </w:p>
        </w:tc>
        <w:tc>
          <w:tcPr>
            <w:tcW w:type="dxa" w:w="1728"/>
          </w:tcPr>
          <w:p>
            <w:r>
              <w:rPr>
                <w:rFonts w:ascii="Calibri" w:hAnsi="Calibri"/>
                <w:sz w:val="22"/>
              </w:rPr>
              <w:t>$2.033B</w:t>
            </w:r>
          </w:p>
        </w:tc>
        <w:tc>
          <w:tcPr>
            <w:tcW w:type="dxa" w:w="1728"/>
          </w:tcPr>
          <w:p>
            <w:r>
              <w:rPr>
                <w:rFonts w:ascii="Calibri" w:hAnsi="Calibri"/>
                <w:sz w:val="22"/>
              </w:rPr>
              <w:t>$2.021B</w:t>
            </w:r>
          </w:p>
        </w:tc>
        <w:tc>
          <w:tcPr>
            <w:tcW w:type="dxa" w:w="1728"/>
          </w:tcPr>
          <w:p>
            <w:r>
              <w:rPr>
                <w:rFonts w:ascii="Calibri" w:hAnsi="Calibri"/>
                <w:sz w:val="22"/>
              </w:rPr>
              <w:t>+0.6%</w:t>
            </w:r>
          </w:p>
        </w:tc>
        <w:tc>
          <w:tcPr>
            <w:tcW w:type="dxa" w:w="1728"/>
          </w:tcPr>
          <w:p>
            <w:r>
              <w:rPr>
                <w:rFonts w:ascii="Calibri" w:hAnsi="Calibri"/>
                <w:b/>
                <w:color w:val="30A46C"/>
                <w:sz w:val="22"/>
              </w:rPr>
              <w:t>Beat</w:t>
            </w:r>
          </w:p>
        </w:tc>
      </w:tr>
      <w:tr>
        <w:tc>
          <w:tcPr>
            <w:tcW w:type="dxa" w:w="1728"/>
          </w:tcPr>
          <w:p>
            <w:r>
              <w:rPr>
                <w:rFonts w:ascii="Calibri" w:hAnsi="Calibri"/>
                <w:sz w:val="22"/>
              </w:rPr>
              <w:t>Q1 2026</w:t>
            </w:r>
          </w:p>
        </w:tc>
        <w:tc>
          <w:tcPr>
            <w:tcW w:type="dxa" w:w="1728"/>
          </w:tcPr>
          <w:p>
            <w:r>
              <w:rPr>
                <w:rFonts w:ascii="Calibri" w:hAnsi="Calibri"/>
                <w:sz w:val="22"/>
              </w:rPr>
              <w:t>$2.254B</w:t>
            </w:r>
          </w:p>
        </w:tc>
        <w:tc>
          <w:tcPr>
            <w:tcW w:type="dxa" w:w="1728"/>
          </w:tcPr>
          <w:p>
            <w:r>
              <w:rPr>
                <w:rFonts w:ascii="Calibri" w:hAnsi="Calibri"/>
                <w:sz w:val="22"/>
              </w:rPr>
              <w:t>$2.131B</w:t>
            </w:r>
          </w:p>
        </w:tc>
        <w:tc>
          <w:tcPr>
            <w:tcW w:type="dxa" w:w="1728"/>
          </w:tcPr>
          <w:p>
            <w:r>
              <w:rPr>
                <w:rFonts w:ascii="Calibri" w:hAnsi="Calibri"/>
                <w:sz w:val="22"/>
              </w:rPr>
              <w:t>+5.8%</w:t>
            </w:r>
          </w:p>
        </w:tc>
        <w:tc>
          <w:tcPr>
            <w:tcW w:type="dxa" w:w="1728"/>
          </w:tcPr>
          <w:p>
            <w:r>
              <w:rPr>
                <w:rFonts w:ascii="Calibri" w:hAnsi="Calibri"/>
                <w:b/>
                <w:color w:val="30A46C"/>
                <w:sz w:val="22"/>
              </w:rPr>
              <w:t>Beat</w:t>
            </w:r>
          </w:p>
        </w:tc>
      </w:tr>
    </w:tbl>
    <w:p>
      <w:r>
        <w:rPr>
          <w:rFonts w:ascii="Calibri" w:hAnsi="Calibri"/>
          <w:b/>
          <w:color w:val="525866"/>
          <w:sz w:val="22"/>
        </w:rPr>
        <w:t>KPI 2: Operating EPS (Diluted)</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 ($)</w:t>
            </w:r>
          </w:p>
        </w:tc>
        <w:tc>
          <w:tcPr>
            <w:tcW w:type="dxa" w:w="1728"/>
            <w:shd w:val="clear" w:color="auto" w:fill="3B4259"/>
          </w:tcPr>
          <w:p>
            <w:r>
              <w:rPr>
                <w:rFonts w:ascii="Calibri" w:hAnsi="Calibri"/>
                <w:b/>
                <w:color w:val="FFFFFF"/>
                <w:sz w:val="22"/>
              </w:rPr>
              <w:t>Consensus ($)</w:t>
            </w:r>
          </w:p>
        </w:tc>
        <w:tc>
          <w:tcPr>
            <w:tcW w:type="dxa" w:w="1728"/>
            <w:shd w:val="clear" w:color="auto" w:fill="3B4259"/>
          </w:tcPr>
          <w:p>
            <w:r>
              <w:rPr>
                <w:rFonts w:ascii="Calibri" w:hAnsi="Calibri"/>
                <w:b/>
                <w:color w:val="FFFFFF"/>
                <w:sz w:val="22"/>
              </w:rPr>
              <w:t>Surprise %</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Q2 2024</w:t>
            </w:r>
          </w:p>
        </w:tc>
        <w:tc>
          <w:tcPr>
            <w:tcW w:type="dxa" w:w="1728"/>
          </w:tcPr>
          <w:p>
            <w:r>
              <w:rPr>
                <w:rFonts w:ascii="Calibri" w:hAnsi="Calibri"/>
                <w:sz w:val="22"/>
              </w:rPr>
              <w:t>$0.426</w:t>
            </w:r>
          </w:p>
        </w:tc>
        <w:tc>
          <w:tcPr>
            <w:tcW w:type="dxa" w:w="1728"/>
          </w:tcPr>
          <w:p>
            <w:r>
              <w:rPr>
                <w:rFonts w:ascii="Calibri" w:hAnsi="Calibri"/>
                <w:sz w:val="22"/>
              </w:rPr>
              <w:t>$0.374</w:t>
            </w:r>
          </w:p>
        </w:tc>
        <w:tc>
          <w:tcPr>
            <w:tcW w:type="dxa" w:w="1728"/>
          </w:tcPr>
          <w:p>
            <w:r>
              <w:rPr>
                <w:rFonts w:ascii="Calibri" w:hAnsi="Calibri"/>
                <w:sz w:val="22"/>
              </w:rPr>
              <w:t>+14.0%</w:t>
            </w:r>
          </w:p>
        </w:tc>
        <w:tc>
          <w:tcPr>
            <w:tcW w:type="dxa" w:w="1728"/>
          </w:tcPr>
          <w:p>
            <w:r>
              <w:rPr>
                <w:rFonts w:ascii="Calibri" w:hAnsi="Calibri"/>
                <w:b/>
                <w:color w:val="30A46C"/>
                <w:sz w:val="22"/>
              </w:rPr>
              <w:t>Beat</w:t>
            </w:r>
          </w:p>
        </w:tc>
      </w:tr>
      <w:tr>
        <w:tc>
          <w:tcPr>
            <w:tcW w:type="dxa" w:w="1728"/>
          </w:tcPr>
          <w:p>
            <w:r>
              <w:rPr>
                <w:rFonts w:ascii="Calibri" w:hAnsi="Calibri"/>
                <w:sz w:val="22"/>
              </w:rPr>
              <w:t>Q3 2024</w:t>
            </w:r>
          </w:p>
        </w:tc>
        <w:tc>
          <w:tcPr>
            <w:tcW w:type="dxa" w:w="1728"/>
          </w:tcPr>
          <w:p>
            <w:r>
              <w:rPr>
                <w:rFonts w:ascii="Calibri" w:hAnsi="Calibri"/>
                <w:sz w:val="22"/>
              </w:rPr>
              <w:t>$0.432</w:t>
            </w:r>
          </w:p>
        </w:tc>
        <w:tc>
          <w:tcPr>
            <w:tcW w:type="dxa" w:w="1728"/>
          </w:tcPr>
          <w:p>
            <w:r>
              <w:rPr>
                <w:rFonts w:ascii="Calibri" w:hAnsi="Calibri"/>
                <w:sz w:val="22"/>
              </w:rPr>
              <w:t>$0.396</w:t>
            </w:r>
          </w:p>
        </w:tc>
        <w:tc>
          <w:tcPr>
            <w:tcW w:type="dxa" w:w="1728"/>
          </w:tcPr>
          <w:p>
            <w:r>
              <w:rPr>
                <w:rFonts w:ascii="Calibri" w:hAnsi="Calibri"/>
                <w:sz w:val="22"/>
              </w:rPr>
              <w:t>+9.1%</w:t>
            </w:r>
          </w:p>
        </w:tc>
        <w:tc>
          <w:tcPr>
            <w:tcW w:type="dxa" w:w="1728"/>
          </w:tcPr>
          <w:p>
            <w:r>
              <w:rPr>
                <w:rFonts w:ascii="Calibri" w:hAnsi="Calibri"/>
                <w:b/>
                <w:color w:val="30A46C"/>
                <w:sz w:val="22"/>
              </w:rPr>
              <w:t>Beat</w:t>
            </w:r>
          </w:p>
        </w:tc>
      </w:tr>
      <w:tr>
        <w:tc>
          <w:tcPr>
            <w:tcW w:type="dxa" w:w="1728"/>
          </w:tcPr>
          <w:p>
            <w:r>
              <w:rPr>
                <w:rFonts w:ascii="Calibri" w:hAnsi="Calibri"/>
                <w:sz w:val="22"/>
              </w:rPr>
              <w:t>Q4 2024</w:t>
            </w:r>
          </w:p>
        </w:tc>
        <w:tc>
          <w:tcPr>
            <w:tcW w:type="dxa" w:w="1728"/>
          </w:tcPr>
          <w:p>
            <w:r>
              <w:rPr>
                <w:rFonts w:ascii="Calibri" w:hAnsi="Calibri"/>
                <w:sz w:val="22"/>
              </w:rPr>
              <w:t>$0.470</w:t>
            </w:r>
          </w:p>
        </w:tc>
        <w:tc>
          <w:tcPr>
            <w:tcW w:type="dxa" w:w="1728"/>
          </w:tcPr>
          <w:p>
            <w:r>
              <w:rPr>
                <w:rFonts w:ascii="Calibri" w:hAnsi="Calibri"/>
                <w:sz w:val="22"/>
              </w:rPr>
              <w:t>$0.430</w:t>
            </w:r>
          </w:p>
        </w:tc>
        <w:tc>
          <w:tcPr>
            <w:tcW w:type="dxa" w:w="1728"/>
          </w:tcPr>
          <w:p>
            <w:r>
              <w:rPr>
                <w:rFonts w:ascii="Calibri" w:hAnsi="Calibri"/>
                <w:sz w:val="22"/>
              </w:rPr>
              <w:t>+9.3%</w:t>
            </w:r>
          </w:p>
        </w:tc>
        <w:tc>
          <w:tcPr>
            <w:tcW w:type="dxa" w:w="1728"/>
          </w:tcPr>
          <w:p>
            <w:r>
              <w:rPr>
                <w:rFonts w:ascii="Calibri" w:hAnsi="Calibri"/>
                <w:b/>
                <w:color w:val="30A46C"/>
                <w:sz w:val="22"/>
              </w:rPr>
              <w:t>Beat</w:t>
            </w:r>
          </w:p>
        </w:tc>
      </w:tr>
      <w:tr>
        <w:tc>
          <w:tcPr>
            <w:tcW w:type="dxa" w:w="1728"/>
          </w:tcPr>
          <w:p>
            <w:r>
              <w:rPr>
                <w:rFonts w:ascii="Calibri" w:hAnsi="Calibri"/>
                <w:sz w:val="22"/>
              </w:rPr>
              <w:t>Q1 2025</w:t>
            </w:r>
          </w:p>
        </w:tc>
        <w:tc>
          <w:tcPr>
            <w:tcW w:type="dxa" w:w="1728"/>
          </w:tcPr>
          <w:p>
            <w:r>
              <w:rPr>
                <w:rFonts w:ascii="Calibri" w:hAnsi="Calibri"/>
                <w:sz w:val="22"/>
              </w:rPr>
              <w:t>$0.597</w:t>
            </w:r>
          </w:p>
        </w:tc>
        <w:tc>
          <w:tcPr>
            <w:tcW w:type="dxa" w:w="1728"/>
          </w:tcPr>
          <w:p>
            <w:r>
              <w:rPr>
                <w:rFonts w:ascii="Calibri" w:hAnsi="Calibri"/>
                <w:sz w:val="22"/>
              </w:rPr>
              <w:t>$0.535</w:t>
            </w:r>
          </w:p>
        </w:tc>
        <w:tc>
          <w:tcPr>
            <w:tcW w:type="dxa" w:w="1728"/>
          </w:tcPr>
          <w:p>
            <w:r>
              <w:rPr>
                <w:rFonts w:ascii="Calibri" w:hAnsi="Calibri"/>
                <w:sz w:val="22"/>
              </w:rPr>
              <w:t>+11.6%</w:t>
            </w:r>
          </w:p>
        </w:tc>
        <w:tc>
          <w:tcPr>
            <w:tcW w:type="dxa" w:w="1728"/>
          </w:tcPr>
          <w:p>
            <w:r>
              <w:rPr>
                <w:rFonts w:ascii="Calibri" w:hAnsi="Calibri"/>
                <w:b/>
                <w:color w:val="30A46C"/>
                <w:sz w:val="22"/>
              </w:rPr>
              <w:t>Beat</w:t>
            </w:r>
          </w:p>
        </w:tc>
      </w:tr>
      <w:tr>
        <w:tc>
          <w:tcPr>
            <w:tcW w:type="dxa" w:w="1728"/>
          </w:tcPr>
          <w:p>
            <w:r>
              <w:rPr>
                <w:rFonts w:ascii="Calibri" w:hAnsi="Calibri"/>
                <w:sz w:val="22"/>
              </w:rPr>
              <w:t>Q2 2025</w:t>
            </w:r>
          </w:p>
        </w:tc>
        <w:tc>
          <w:tcPr>
            <w:tcW w:type="dxa" w:w="1728"/>
          </w:tcPr>
          <w:p>
            <w:r>
              <w:rPr>
                <w:rFonts w:ascii="Calibri" w:hAnsi="Calibri"/>
                <w:sz w:val="22"/>
              </w:rPr>
              <w:t>$0.460</w:t>
            </w:r>
          </w:p>
        </w:tc>
        <w:tc>
          <w:tcPr>
            <w:tcW w:type="dxa" w:w="1728"/>
          </w:tcPr>
          <w:p>
            <w:r>
              <w:rPr>
                <w:rFonts w:ascii="Calibri" w:hAnsi="Calibri"/>
                <w:sz w:val="22"/>
              </w:rPr>
              <w:t>$0.482</w:t>
            </w:r>
          </w:p>
        </w:tc>
        <w:tc>
          <w:tcPr>
            <w:tcW w:type="dxa" w:w="1728"/>
          </w:tcPr>
          <w:p>
            <w:r>
              <w:rPr>
                <w:rFonts w:ascii="Calibri" w:hAnsi="Calibri"/>
                <w:sz w:val="22"/>
              </w:rPr>
              <w:t>-4.6%</w:t>
            </w:r>
          </w:p>
        </w:tc>
        <w:tc>
          <w:tcPr>
            <w:tcW w:type="dxa" w:w="1728"/>
          </w:tcPr>
          <w:p>
            <w:r>
              <w:rPr>
                <w:rFonts w:ascii="Calibri" w:hAnsi="Calibri"/>
                <w:b/>
                <w:color w:val="E5484D"/>
                <w:sz w:val="22"/>
              </w:rPr>
              <w:t>Miss</w:t>
            </w:r>
          </w:p>
        </w:tc>
      </w:tr>
      <w:tr>
        <w:tc>
          <w:tcPr>
            <w:tcW w:type="dxa" w:w="1728"/>
          </w:tcPr>
          <w:p>
            <w:r>
              <w:rPr>
                <w:rFonts w:ascii="Calibri" w:hAnsi="Calibri"/>
                <w:sz w:val="22"/>
              </w:rPr>
              <w:t>Q3 2025</w:t>
            </w:r>
          </w:p>
        </w:tc>
        <w:tc>
          <w:tcPr>
            <w:tcW w:type="dxa" w:w="1728"/>
          </w:tcPr>
          <w:p>
            <w:r>
              <w:rPr>
                <w:rFonts w:ascii="Calibri" w:hAnsi="Calibri"/>
                <w:sz w:val="22"/>
              </w:rPr>
              <w:t>$0.492</w:t>
            </w:r>
          </w:p>
        </w:tc>
        <w:tc>
          <w:tcPr>
            <w:tcW w:type="dxa" w:w="1728"/>
          </w:tcPr>
          <w:p>
            <w:r>
              <w:rPr>
                <w:rFonts w:ascii="Calibri" w:hAnsi="Calibri"/>
                <w:sz w:val="22"/>
              </w:rPr>
              <w:t>$0.521</w:t>
            </w:r>
          </w:p>
        </w:tc>
        <w:tc>
          <w:tcPr>
            <w:tcW w:type="dxa" w:w="1728"/>
          </w:tcPr>
          <w:p>
            <w:r>
              <w:rPr>
                <w:rFonts w:ascii="Calibri" w:hAnsi="Calibri"/>
                <w:sz w:val="22"/>
              </w:rPr>
              <w:t>-5.5%</w:t>
            </w:r>
          </w:p>
        </w:tc>
        <w:tc>
          <w:tcPr>
            <w:tcW w:type="dxa" w:w="1728"/>
          </w:tcPr>
          <w:p>
            <w:r>
              <w:rPr>
                <w:rFonts w:ascii="Calibri" w:hAnsi="Calibri"/>
                <w:b/>
                <w:color w:val="E5484D"/>
                <w:sz w:val="22"/>
              </w:rPr>
              <w:t>Miss</w:t>
            </w:r>
          </w:p>
        </w:tc>
      </w:tr>
      <w:tr>
        <w:tc>
          <w:tcPr>
            <w:tcW w:type="dxa" w:w="1728"/>
          </w:tcPr>
          <w:p>
            <w:r>
              <w:rPr>
                <w:rFonts w:ascii="Calibri" w:hAnsi="Calibri"/>
                <w:sz w:val="22"/>
              </w:rPr>
              <w:t>Q4 2025</w:t>
            </w:r>
          </w:p>
        </w:tc>
        <w:tc>
          <w:tcPr>
            <w:tcW w:type="dxa" w:w="1728"/>
          </w:tcPr>
          <w:p>
            <w:r>
              <w:rPr>
                <w:rFonts w:ascii="Calibri" w:hAnsi="Calibri"/>
                <w:sz w:val="22"/>
              </w:rPr>
              <w:t>$0.550</w:t>
            </w:r>
          </w:p>
        </w:tc>
        <w:tc>
          <w:tcPr>
            <w:tcW w:type="dxa" w:w="1728"/>
          </w:tcPr>
          <w:p>
            <w:r>
              <w:rPr>
                <w:rFonts w:ascii="Calibri" w:hAnsi="Calibri"/>
                <w:sz w:val="22"/>
              </w:rPr>
              <w:t>$0.576</w:t>
            </w:r>
          </w:p>
        </w:tc>
        <w:tc>
          <w:tcPr>
            <w:tcW w:type="dxa" w:w="1728"/>
          </w:tcPr>
          <w:p>
            <w:r>
              <w:rPr>
                <w:rFonts w:ascii="Calibri" w:hAnsi="Calibri"/>
                <w:sz w:val="22"/>
              </w:rPr>
              <w:t>-4.5%</w:t>
            </w:r>
          </w:p>
        </w:tc>
        <w:tc>
          <w:tcPr>
            <w:tcW w:type="dxa" w:w="1728"/>
          </w:tcPr>
          <w:p>
            <w:r>
              <w:rPr>
                <w:rFonts w:ascii="Calibri" w:hAnsi="Calibri"/>
                <w:b/>
                <w:color w:val="E5484D"/>
                <w:sz w:val="22"/>
              </w:rPr>
              <w:t>Miss</w:t>
            </w:r>
          </w:p>
        </w:tc>
      </w:tr>
      <w:tr>
        <w:tc>
          <w:tcPr>
            <w:tcW w:type="dxa" w:w="1728"/>
          </w:tcPr>
          <w:p>
            <w:r>
              <w:rPr>
                <w:rFonts w:ascii="Calibri" w:hAnsi="Calibri"/>
                <w:sz w:val="22"/>
              </w:rPr>
              <w:t>Q1 2026</w:t>
            </w:r>
          </w:p>
        </w:tc>
        <w:tc>
          <w:tcPr>
            <w:tcW w:type="dxa" w:w="1728"/>
          </w:tcPr>
          <w:p>
            <w:r>
              <w:rPr>
                <w:rFonts w:ascii="Calibri" w:hAnsi="Calibri"/>
                <w:sz w:val="22"/>
              </w:rPr>
              <w:t>$0.730</w:t>
            </w:r>
          </w:p>
        </w:tc>
        <w:tc>
          <w:tcPr>
            <w:tcW w:type="dxa" w:w="1728"/>
          </w:tcPr>
          <w:p>
            <w:r>
              <w:rPr>
                <w:rFonts w:ascii="Calibri" w:hAnsi="Calibri"/>
                <w:sz w:val="22"/>
              </w:rPr>
              <w:t>$0.637</w:t>
            </w:r>
          </w:p>
        </w:tc>
        <w:tc>
          <w:tcPr>
            <w:tcW w:type="dxa" w:w="1728"/>
          </w:tcPr>
          <w:p>
            <w:r>
              <w:rPr>
                <w:rFonts w:ascii="Calibri" w:hAnsi="Calibri"/>
                <w:sz w:val="22"/>
              </w:rPr>
              <w:t>+14.6%</w:t>
            </w:r>
          </w:p>
        </w:tc>
        <w:tc>
          <w:tcPr>
            <w:tcW w:type="dxa" w:w="1728"/>
          </w:tcPr>
          <w:p>
            <w:r>
              <w:rPr>
                <w:rFonts w:ascii="Calibri" w:hAnsi="Calibri"/>
                <w:b/>
                <w:color w:val="30A46C"/>
                <w:sz w:val="22"/>
              </w:rPr>
              <w:t>Beat</w:t>
            </w:r>
          </w:p>
        </w:tc>
      </w:tr>
    </w:tbl>
    <w:p>
      <w:r>
        <w:rPr>
          <w:rFonts w:ascii="Calibri" w:hAnsi="Calibri"/>
          <w:i/>
          <w:color w:val="525866"/>
          <w:sz w:val="22"/>
        </w:rPr>
        <w:t xml:space="preserve">Source: Visible Alpha Consensus and Actuals Data. </w:t>
      </w:r>
      <w:r>
        <w:rPr>
          <w:rFonts w:ascii="Calibri" w:hAnsi="Calibri"/>
          <w:b/>
          <w:i/>
          <w:color w:val="525866"/>
          <w:sz w:val="22"/>
        </w:rPr>
        <w:t xml:space="preserve">Pattern: </w:t>
      </w:r>
      <w:r>
        <w:rPr>
          <w:rFonts w:ascii="Calibri" w:hAnsi="Calibri"/>
          <w:i/>
          <w:color w:val="525866"/>
          <w:sz w:val="22"/>
        </w:rPr>
        <w:t>WMB has beaten Adjusted EBITDA consensus in 5 of the last 8 quarters with an average beat of ~+1.8% when it beats; Operating EPS shows a more mixed record (4 beats, 4 misses over 8 quarters) but Q1 2026's +14.6% EPS beat was the largest in the series, driven by bonus depreciation benefits and strong segment performance. The Q2 2025 and Q3 2025 EPS misses were driven by higher-than-expected interest expense and tax items rather than operational weakness.</w:t>
      </w:r>
    </w:p>
    <w:p>
      <w:r>
        <w:br w:type="page"/>
      </w:r>
    </w:p>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FY2026 EBITDA estimates have risen modestly since Q1 earnings (consensus now at the top of guidance range), while Q2 2026 estimates are essentially unchanged — the revision story is constructive but not euphoric, suggesting the market is tracking guidance rather than pricing in upside surprises.</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KPI (Period)</w:t>
            </w:r>
          </w:p>
        </w:tc>
        <w:tc>
          <w:tcPr>
            <w:tcW w:type="dxa" w:w="1080"/>
            <w:shd w:val="clear" w:color="auto" w:fill="3B4259"/>
          </w:tcPr>
          <w:p>
            <w:r>
              <w:rPr>
                <w:rFonts w:ascii="Calibri" w:hAnsi="Calibri"/>
                <w:b/>
                <w:color w:val="FFFFFF"/>
                <w:sz w:val="22"/>
              </w:rPr>
              <w:t>Estimate ~5 Days Post Q1 Earnings (as of May 11, 2026)</w:t>
            </w:r>
          </w:p>
        </w:tc>
        <w:tc>
          <w:tcPr>
            <w:tcW w:type="dxa" w:w="1080"/>
            <w:shd w:val="clear" w:color="auto" w:fill="3B4259"/>
          </w:tcPr>
          <w:p>
            <w:r>
              <w:rPr>
                <w:rFonts w:ascii="Calibri" w:hAnsi="Calibri"/>
                <w:b/>
                <w:color w:val="FFFFFF"/>
                <w:sz w:val="22"/>
              </w:rPr>
              <w:t>Current Consensus (Aug 2, 2026)</w:t>
            </w:r>
          </w:p>
        </w:tc>
        <w:tc>
          <w:tcPr>
            <w:tcW w:type="dxa" w:w="1080"/>
            <w:shd w:val="clear" w:color="auto" w:fill="3B4259"/>
          </w:tcPr>
          <w:p>
            <w:r>
              <w:rPr>
                <w:rFonts w:ascii="Calibri" w:hAnsi="Calibri"/>
                <w:b/>
                <w:color w:val="FFFFFF"/>
                <w:sz w:val="22"/>
              </w:rPr>
              <w:t>Estimate Δ (%)</w:t>
            </w:r>
          </w:p>
        </w:tc>
        <w:tc>
          <w:tcPr>
            <w:tcW w:type="dxa" w:w="1080"/>
            <w:shd w:val="clear" w:color="auto" w:fill="3B4259"/>
          </w:tcPr>
          <w:p>
            <w:r>
              <w:rPr>
                <w:rFonts w:ascii="Calibri" w:hAnsi="Calibri"/>
                <w:b/>
                <w:color w:val="FFFFFF"/>
                <w:sz w:val="22"/>
              </w:rPr>
              <w:t>Initial Guidance (Q1 2026 Call)</w:t>
            </w:r>
          </w:p>
        </w:tc>
        <w:tc>
          <w:tcPr>
            <w:tcW w:type="dxa" w:w="1080"/>
            <w:shd w:val="clear" w:color="auto" w:fill="3B4259"/>
          </w:tcPr>
          <w:p>
            <w:r>
              <w:rPr>
                <w:rFonts w:ascii="Calibri" w:hAnsi="Calibri"/>
                <w:b/>
                <w:color w:val="FFFFFF"/>
                <w:sz w:val="22"/>
              </w:rPr>
              <w:t>Current Guidance</w:t>
            </w:r>
          </w:p>
        </w:tc>
        <w:tc>
          <w:tcPr>
            <w:tcW w:type="dxa" w:w="1080"/>
            <w:shd w:val="clear" w:color="auto" w:fill="3B4259"/>
          </w:tcPr>
          <w:p>
            <w:r>
              <w:rPr>
                <w:rFonts w:ascii="Calibri" w:hAnsi="Calibri"/>
                <w:b/>
                <w:color w:val="FFFFFF"/>
                <w:sz w:val="22"/>
              </w:rPr>
              <w:t>Guidance Δ</w:t>
            </w:r>
          </w:p>
        </w:tc>
        <w:tc>
          <w:tcPr>
            <w:tcW w:type="dxa" w:w="1080"/>
            <w:shd w:val="clear" w:color="auto" w:fill="3B4259"/>
          </w:tcPr>
          <w:p>
            <w:r>
              <w:rPr>
                <w:rFonts w:ascii="Calibri" w:hAnsi="Calibri"/>
                <w:b/>
                <w:color w:val="FFFFFF"/>
                <w:sz w:val="22"/>
              </w:rPr>
              <w:t>Consensus vs. Guidance (%)</w:t>
            </w:r>
          </w:p>
        </w:tc>
      </w:tr>
      <w:tr>
        <w:tc>
          <w:tcPr>
            <w:tcW w:type="dxa" w:w="1080"/>
          </w:tcPr>
          <w:p>
            <w:r>
              <w:rPr>
                <w:rFonts w:ascii="Calibri" w:hAnsi="Calibri"/>
                <w:sz w:val="22"/>
              </w:rPr>
              <w:t>Adj. EBITDA — Q2 2026</w:t>
            </w:r>
          </w:p>
        </w:tc>
        <w:tc>
          <w:tcPr>
            <w:tcW w:type="dxa" w:w="1080"/>
          </w:tcPr>
          <w:p>
            <w:r>
              <w:rPr>
                <w:rFonts w:ascii="Calibri" w:hAnsi="Calibri"/>
                <w:sz w:val="22"/>
              </w:rPr>
              <w:t>$1.959B</w:t>
            </w:r>
          </w:p>
        </w:tc>
        <w:tc>
          <w:tcPr>
            <w:tcW w:type="dxa" w:w="1080"/>
          </w:tcPr>
          <w:p>
            <w:r>
              <w:rPr>
                <w:rFonts w:ascii="Calibri" w:hAnsi="Calibri"/>
                <w:sz w:val="22"/>
              </w:rPr>
              <w:t>$1.940B</w:t>
            </w:r>
          </w:p>
        </w:tc>
        <w:tc>
          <w:tcPr>
            <w:tcW w:type="dxa" w:w="1080"/>
          </w:tcPr>
          <w:p>
            <w:r>
              <w:rPr>
                <w:rFonts w:ascii="Calibri" w:hAnsi="Calibri"/>
                <w:sz w:val="22"/>
              </w:rPr>
              <w:t>-1.0%</w:t>
            </w:r>
          </w:p>
        </w:tc>
        <w:tc>
          <w:tcPr>
            <w:tcW w:type="dxa" w:w="1080"/>
          </w:tcPr>
          <w:p>
            <w:r>
              <w:rPr>
                <w:rFonts w:ascii="Calibri" w:hAnsi="Calibri"/>
                <w:sz w:val="22"/>
              </w:rPr>
              <w:t>No specific Q2 guidance; FY upper half of $8.05–$8.35B</w:t>
            </w:r>
          </w:p>
        </w:tc>
        <w:tc>
          <w:tcPr>
            <w:tcW w:type="dxa" w:w="1080"/>
          </w:tcPr>
          <w:p>
            <w:r>
              <w:rPr>
                <w:rFonts w:ascii="Calibri" w:hAnsi="Calibri"/>
                <w:sz w:val="22"/>
              </w:rPr>
              <w:t>Reaffirmed</w:t>
            </w:r>
          </w:p>
        </w:tc>
        <w:tc>
          <w:tcPr>
            <w:tcW w:type="dxa" w:w="1080"/>
          </w:tcPr>
          <w:p>
            <w:r>
              <w:rPr>
                <w:rFonts w:ascii="Calibri" w:hAnsi="Calibri"/>
                <w:sz w:val="22"/>
              </w:rPr>
              <w:t>—</w:t>
            </w:r>
          </w:p>
        </w:tc>
        <w:tc>
          <w:tcPr>
            <w:tcW w:type="dxa" w:w="1080"/>
          </w:tcPr>
          <w:p>
            <w:r>
              <w:rPr>
                <w:rFonts w:ascii="Calibri" w:hAnsi="Calibri"/>
                <w:sz w:val="22"/>
              </w:rPr>
              <w:t>~In line with implied quarterly run-rate</w:t>
            </w:r>
          </w:p>
        </w:tc>
      </w:tr>
      <w:tr>
        <w:tc>
          <w:tcPr>
            <w:tcW w:type="dxa" w:w="1080"/>
          </w:tcPr>
          <w:p>
            <w:r>
              <w:rPr>
                <w:rFonts w:ascii="Calibri" w:hAnsi="Calibri"/>
                <w:sz w:val="22"/>
              </w:rPr>
              <w:t>Adj. EBITDA — FY2026</w:t>
            </w:r>
          </w:p>
        </w:tc>
        <w:tc>
          <w:tcPr>
            <w:tcW w:type="dxa" w:w="1080"/>
          </w:tcPr>
          <w:p>
            <w:r>
              <w:rPr>
                <w:rFonts w:ascii="Calibri" w:hAnsi="Calibri"/>
                <w:sz w:val="22"/>
              </w:rPr>
              <w:t>$8.383B</w:t>
            </w:r>
          </w:p>
        </w:tc>
        <w:tc>
          <w:tcPr>
            <w:tcW w:type="dxa" w:w="1080"/>
          </w:tcPr>
          <w:p>
            <w:r>
              <w:rPr>
                <w:rFonts w:ascii="Calibri" w:hAnsi="Calibri"/>
                <w:sz w:val="22"/>
              </w:rPr>
              <w:t>$8.355B</w:t>
            </w:r>
          </w:p>
        </w:tc>
        <w:tc>
          <w:tcPr>
            <w:tcW w:type="dxa" w:w="1080"/>
          </w:tcPr>
          <w:p>
            <w:r>
              <w:rPr>
                <w:rFonts w:ascii="Calibri" w:hAnsi="Calibri"/>
                <w:sz w:val="22"/>
              </w:rPr>
              <w:t>-0.3%</w:t>
            </w:r>
          </w:p>
        </w:tc>
        <w:tc>
          <w:tcPr>
            <w:tcW w:type="dxa" w:w="1080"/>
          </w:tcPr>
          <w:p>
            <w:r>
              <w:rPr>
                <w:rFonts w:ascii="Calibri" w:hAnsi="Calibri"/>
                <w:sz w:val="22"/>
              </w:rPr>
              <w:t>Upper half of $8.05–$8.35B (midpoint ~$8.20B)</w:t>
            </w:r>
          </w:p>
        </w:tc>
        <w:tc>
          <w:tcPr>
            <w:tcW w:type="dxa" w:w="1080"/>
          </w:tcPr>
          <w:p>
            <w:r>
              <w:rPr>
                <w:rFonts w:ascii="Calibri" w:hAnsi="Calibri"/>
                <w:sz w:val="22"/>
              </w:rPr>
              <w:t>Reaffirmed July 13</w:t>
            </w:r>
          </w:p>
        </w:tc>
        <w:tc>
          <w:tcPr>
            <w:tcW w:type="dxa" w:w="1080"/>
          </w:tcPr>
          <w:p>
            <w:r>
              <w:rPr>
                <w:rFonts w:ascii="Calibri" w:hAnsi="Calibri"/>
                <w:sz w:val="22"/>
              </w:rPr>
              <w:t>No change</w:t>
            </w:r>
          </w:p>
        </w:tc>
        <w:tc>
          <w:tcPr>
            <w:tcW w:type="dxa" w:w="1080"/>
          </w:tcPr>
          <w:p>
            <w:r>
              <w:rPr>
                <w:rFonts w:ascii="Calibri" w:hAnsi="Calibri"/>
                <w:sz w:val="22"/>
              </w:rPr>
              <w:t>+1.9% vs. $8.20B midpoint</w:t>
            </w:r>
          </w:p>
        </w:tc>
      </w:tr>
      <w:tr>
        <w:tc>
          <w:tcPr>
            <w:tcW w:type="dxa" w:w="1080"/>
          </w:tcPr>
          <w:p>
            <w:r>
              <w:rPr>
                <w:rFonts w:ascii="Calibri" w:hAnsi="Calibri"/>
                <w:sz w:val="22"/>
              </w:rPr>
              <w:t>Adj. EBITDA — FY2027</w:t>
            </w:r>
          </w:p>
        </w:tc>
        <w:tc>
          <w:tcPr>
            <w:tcW w:type="dxa" w:w="1080"/>
          </w:tcPr>
          <w:p>
            <w:r>
              <w:rPr>
                <w:rFonts w:ascii="Calibri" w:hAnsi="Calibri"/>
                <w:sz w:val="22"/>
              </w:rPr>
              <w:t>$9.173B</w:t>
            </w:r>
          </w:p>
        </w:tc>
        <w:tc>
          <w:tcPr>
            <w:tcW w:type="dxa" w:w="1080"/>
          </w:tcPr>
          <w:p>
            <w:r>
              <w:rPr>
                <w:rFonts w:ascii="Calibri" w:hAnsi="Calibri"/>
                <w:sz w:val="22"/>
              </w:rPr>
              <w:t>$9.145B</w:t>
            </w:r>
          </w:p>
        </w:tc>
        <w:tc>
          <w:tcPr>
            <w:tcW w:type="dxa" w:w="1080"/>
          </w:tcPr>
          <w:p>
            <w:r>
              <w:rPr>
                <w:rFonts w:ascii="Calibri" w:hAnsi="Calibri"/>
                <w:sz w:val="22"/>
              </w:rPr>
              <w:t>-0.3%</w:t>
            </w:r>
          </w:p>
        </w:tc>
        <w:tc>
          <w:tcPr>
            <w:tcW w:type="dxa" w:w="1080"/>
          </w:tcPr>
          <w:p>
            <w:r>
              <w:rPr>
                <w:rFonts w:ascii="Calibri" w:hAnsi="Calibri"/>
                <w:sz w:val="22"/>
              </w:rPr>
              <w:t>No FY2027 guidance provided</w:t>
            </w:r>
          </w:p>
        </w:tc>
        <w:tc>
          <w:tcPr>
            <w:tcW w:type="dxa" w:w="1080"/>
          </w:tcPr>
          <w:p>
            <w:r>
              <w:rPr>
                <w:rFonts w:ascii="Calibri" w:hAnsi="Calibri"/>
                <w:sz w:val="22"/>
              </w:rPr>
              <w:t>N/A</w:t>
            </w:r>
          </w:p>
        </w:tc>
        <w:tc>
          <w:tcPr>
            <w:tcW w:type="dxa" w:w="1080"/>
          </w:tcPr>
          <w:p>
            <w:r>
              <w:rPr>
                <w:rFonts w:ascii="Calibri" w:hAnsi="Calibri"/>
                <w:sz w:val="22"/>
              </w:rPr>
              <w:t>—</w:t>
            </w:r>
          </w:p>
        </w:tc>
        <w:tc>
          <w:tcPr>
            <w:tcW w:type="dxa" w:w="1080"/>
          </w:tcPr>
          <w:p>
            <w:r>
              <w:rPr>
                <w:rFonts w:ascii="Calibri" w:hAnsi="Calibri"/>
                <w:sz w:val="22"/>
              </w:rPr>
              <w:t>N/A</w:t>
            </w:r>
          </w:p>
        </w:tc>
      </w:tr>
      <w:tr>
        <w:tc>
          <w:tcPr>
            <w:tcW w:type="dxa" w:w="1080"/>
          </w:tcPr>
          <w:p>
            <w:r>
              <w:rPr>
                <w:rFonts w:ascii="Calibri" w:hAnsi="Calibri"/>
                <w:sz w:val="22"/>
              </w:rPr>
              <w:t>Operating EPS — Q2 2026</w:t>
            </w:r>
          </w:p>
        </w:tc>
        <w:tc>
          <w:tcPr>
            <w:tcW w:type="dxa" w:w="1080"/>
          </w:tcPr>
          <w:p>
            <w:r>
              <w:rPr>
                <w:rFonts w:ascii="Calibri" w:hAnsi="Calibri"/>
                <w:sz w:val="22"/>
              </w:rPr>
              <w:t>$0.508</w:t>
            </w:r>
          </w:p>
        </w:tc>
        <w:tc>
          <w:tcPr>
            <w:tcW w:type="dxa" w:w="1080"/>
          </w:tcPr>
          <w:p>
            <w:r>
              <w:rPr>
                <w:rFonts w:ascii="Calibri" w:hAnsi="Calibri"/>
                <w:sz w:val="22"/>
              </w:rPr>
              <w:t>$0.504</w:t>
            </w:r>
          </w:p>
        </w:tc>
        <w:tc>
          <w:tcPr>
            <w:tcW w:type="dxa" w:w="1080"/>
          </w:tcPr>
          <w:p>
            <w:r>
              <w:rPr>
                <w:rFonts w:ascii="Calibri" w:hAnsi="Calibri"/>
                <w:sz w:val="22"/>
              </w:rPr>
              <w:t>-0.8%</w:t>
            </w:r>
          </w:p>
        </w:tc>
        <w:tc>
          <w:tcPr>
            <w:tcW w:type="dxa" w:w="1080"/>
          </w:tcPr>
          <w:p>
            <w:r>
              <w:rPr>
                <w:rFonts w:ascii="Calibri" w:hAnsi="Calibri"/>
                <w:sz w:val="22"/>
              </w:rPr>
              <w:t>No specific quarterly guidance</w:t>
            </w:r>
          </w:p>
        </w:tc>
        <w:tc>
          <w:tcPr>
            <w:tcW w:type="dxa" w:w="1080"/>
          </w:tcPr>
          <w:p>
            <w:r>
              <w:rPr>
                <w:rFonts w:ascii="Calibri" w:hAnsi="Calibri"/>
                <w:sz w:val="22"/>
              </w:rPr>
              <w:t>N/A</w:t>
            </w:r>
          </w:p>
        </w:tc>
        <w:tc>
          <w:tcPr>
            <w:tcW w:type="dxa" w:w="1080"/>
          </w:tcPr>
          <w:p>
            <w:r>
              <w:rPr>
                <w:rFonts w:ascii="Calibri" w:hAnsi="Calibri"/>
                <w:sz w:val="22"/>
              </w:rPr>
              <w:t>—</w:t>
            </w:r>
          </w:p>
        </w:tc>
        <w:tc>
          <w:tcPr>
            <w:tcW w:type="dxa" w:w="1080"/>
          </w:tcPr>
          <w:p>
            <w:r>
              <w:rPr>
                <w:rFonts w:ascii="Calibri" w:hAnsi="Calibri"/>
                <w:sz w:val="22"/>
              </w:rPr>
              <w:t>N/A</w:t>
            </w:r>
          </w:p>
        </w:tc>
      </w:tr>
      <w:tr>
        <w:tc>
          <w:tcPr>
            <w:tcW w:type="dxa" w:w="1080"/>
          </w:tcPr>
          <w:p>
            <w:r>
              <w:rPr>
                <w:rFonts w:ascii="Calibri" w:hAnsi="Calibri"/>
                <w:sz w:val="22"/>
              </w:rPr>
              <w:t>Operating EPS — FY2026</w:t>
            </w:r>
          </w:p>
        </w:tc>
        <w:tc>
          <w:tcPr>
            <w:tcW w:type="dxa" w:w="1080"/>
          </w:tcPr>
          <w:p>
            <w:r>
              <w:rPr>
                <w:rFonts w:ascii="Calibri" w:hAnsi="Calibri"/>
                <w:sz w:val="22"/>
              </w:rPr>
              <w:t>$2.361B</w:t>
            </w:r>
          </w:p>
        </w:tc>
        <w:tc>
          <w:tcPr>
            <w:tcW w:type="dxa" w:w="1080"/>
          </w:tcPr>
          <w:p>
            <w:r>
              <w:rPr>
                <w:rFonts w:ascii="Calibri" w:hAnsi="Calibri"/>
                <w:sz w:val="22"/>
              </w:rPr>
              <w:t>$2.390B</w:t>
            </w:r>
          </w:p>
        </w:tc>
        <w:tc>
          <w:tcPr>
            <w:tcW w:type="dxa" w:w="1080"/>
          </w:tcPr>
          <w:p>
            <w:r>
              <w:rPr>
                <w:rFonts w:ascii="Calibri" w:hAnsi="Calibri"/>
                <w:sz w:val="22"/>
              </w:rPr>
              <w:t>+1.2%</w:t>
            </w:r>
          </w:p>
        </w:tc>
        <w:tc>
          <w:tcPr>
            <w:tcW w:type="dxa" w:w="1080"/>
          </w:tcPr>
          <w:p>
            <w:r>
              <w:rPr>
                <w:rFonts w:ascii="Calibri" w:hAnsi="Calibri"/>
                <w:sz w:val="22"/>
              </w:rPr>
              <w:t>No specific EPS guidance</w:t>
            </w:r>
          </w:p>
        </w:tc>
        <w:tc>
          <w:tcPr>
            <w:tcW w:type="dxa" w:w="1080"/>
          </w:tcPr>
          <w:p>
            <w:r>
              <w:rPr>
                <w:rFonts w:ascii="Calibri" w:hAnsi="Calibri"/>
                <w:sz w:val="22"/>
              </w:rPr>
              <w:t>N/A</w:t>
            </w:r>
          </w:p>
        </w:tc>
        <w:tc>
          <w:tcPr>
            <w:tcW w:type="dxa" w:w="1080"/>
          </w:tcPr>
          <w:p>
            <w:r>
              <w:rPr>
                <w:rFonts w:ascii="Calibri" w:hAnsi="Calibri"/>
                <w:sz w:val="22"/>
              </w:rPr>
              <w:t>—</w:t>
            </w:r>
          </w:p>
        </w:tc>
        <w:tc>
          <w:tcPr>
            <w:tcW w:type="dxa" w:w="1080"/>
          </w:tcPr>
          <w:p>
            <w:r>
              <w:rPr>
                <w:rFonts w:ascii="Calibri" w:hAnsi="Calibri"/>
                <w:sz w:val="22"/>
              </w:rPr>
              <w:t>N/A</w:t>
            </w:r>
          </w:p>
        </w:tc>
      </w:tr>
      <w:tr>
        <w:tc>
          <w:tcPr>
            <w:tcW w:type="dxa" w:w="1080"/>
          </w:tcPr>
          <w:p>
            <w:r>
              <w:rPr>
                <w:rFonts w:ascii="Calibri" w:hAnsi="Calibri"/>
                <w:sz w:val="22"/>
              </w:rPr>
              <w:t>AFFO — Q2 2026</w:t>
            </w:r>
          </w:p>
        </w:tc>
        <w:tc>
          <w:tcPr>
            <w:tcW w:type="dxa" w:w="1080"/>
          </w:tcPr>
          <w:p>
            <w:r>
              <w:rPr>
                <w:rFonts w:ascii="Calibri" w:hAnsi="Calibri"/>
                <w:sz w:val="22"/>
              </w:rPr>
              <w:t>$1.463B</w:t>
            </w:r>
          </w:p>
        </w:tc>
        <w:tc>
          <w:tcPr>
            <w:tcW w:type="dxa" w:w="1080"/>
          </w:tcPr>
          <w:p>
            <w:r>
              <w:rPr>
                <w:rFonts w:ascii="Calibri" w:hAnsi="Calibri"/>
                <w:sz w:val="22"/>
              </w:rPr>
              <w:t>$1.450B</w:t>
            </w:r>
          </w:p>
        </w:tc>
        <w:tc>
          <w:tcPr>
            <w:tcW w:type="dxa" w:w="1080"/>
          </w:tcPr>
          <w:p>
            <w:r>
              <w:rPr>
                <w:rFonts w:ascii="Calibri" w:hAnsi="Calibri"/>
                <w:sz w:val="22"/>
              </w:rPr>
              <w:t>-0.9%</w:t>
            </w:r>
          </w:p>
        </w:tc>
        <w:tc>
          <w:tcPr>
            <w:tcW w:type="dxa" w:w="1080"/>
          </w:tcPr>
          <w:p>
            <w:r>
              <w:rPr>
                <w:rFonts w:ascii="Calibri" w:hAnsi="Calibri"/>
                <w:sz w:val="22"/>
              </w:rPr>
              <w:t>No specific quarterly guidance</w:t>
            </w:r>
          </w:p>
        </w:tc>
        <w:tc>
          <w:tcPr>
            <w:tcW w:type="dxa" w:w="1080"/>
          </w:tcPr>
          <w:p>
            <w:r>
              <w:rPr>
                <w:rFonts w:ascii="Calibri" w:hAnsi="Calibri"/>
                <w:sz w:val="22"/>
              </w:rPr>
              <w:t>N/A</w:t>
            </w:r>
          </w:p>
        </w:tc>
        <w:tc>
          <w:tcPr>
            <w:tcW w:type="dxa" w:w="1080"/>
          </w:tcPr>
          <w:p>
            <w:r>
              <w:rPr>
                <w:rFonts w:ascii="Calibri" w:hAnsi="Calibri"/>
                <w:sz w:val="22"/>
              </w:rPr>
              <w:t>—</w:t>
            </w:r>
          </w:p>
        </w:tc>
        <w:tc>
          <w:tcPr>
            <w:tcW w:type="dxa" w:w="1080"/>
          </w:tcPr>
          <w:p>
            <w:r>
              <w:rPr>
                <w:rFonts w:ascii="Calibri" w:hAnsi="Calibri"/>
                <w:sz w:val="22"/>
              </w:rPr>
              <w:t>N/A</w:t>
            </w:r>
          </w:p>
        </w:tc>
      </w:tr>
      <w:tr>
        <w:tc>
          <w:tcPr>
            <w:tcW w:type="dxa" w:w="1080"/>
          </w:tcPr>
          <w:p>
            <w:r>
              <w:rPr>
                <w:rFonts w:ascii="Calibri" w:hAnsi="Calibri"/>
                <w:sz w:val="22"/>
              </w:rPr>
              <w:t>AFFO — FY2026</w:t>
            </w:r>
          </w:p>
        </w:tc>
        <w:tc>
          <w:tcPr>
            <w:tcW w:type="dxa" w:w="1080"/>
          </w:tcPr>
          <w:p>
            <w:r>
              <w:rPr>
                <w:rFonts w:ascii="Calibri" w:hAnsi="Calibri"/>
                <w:sz w:val="22"/>
              </w:rPr>
              <w:t>$6.357B</w:t>
            </w:r>
          </w:p>
        </w:tc>
        <w:tc>
          <w:tcPr>
            <w:tcW w:type="dxa" w:w="1080"/>
          </w:tcPr>
          <w:p>
            <w:r>
              <w:rPr>
                <w:rFonts w:ascii="Calibri" w:hAnsi="Calibri"/>
                <w:sz w:val="22"/>
              </w:rPr>
              <w:t>$6.346B</w:t>
            </w:r>
          </w:p>
        </w:tc>
        <w:tc>
          <w:tcPr>
            <w:tcW w:type="dxa" w:w="1080"/>
          </w:tcPr>
          <w:p>
            <w:r>
              <w:rPr>
                <w:rFonts w:ascii="Calibri" w:hAnsi="Calibri"/>
                <w:sz w:val="22"/>
              </w:rPr>
              <w:t>-0.2%</w:t>
            </w:r>
          </w:p>
        </w:tc>
        <w:tc>
          <w:tcPr>
            <w:tcW w:type="dxa" w:w="1080"/>
          </w:tcPr>
          <w:p>
            <w:r>
              <w:rPr>
                <w:rFonts w:ascii="Calibri" w:hAnsi="Calibri"/>
                <w:sz w:val="22"/>
              </w:rPr>
              <w:t>No specific guidance</w:t>
            </w:r>
          </w:p>
        </w:tc>
        <w:tc>
          <w:tcPr>
            <w:tcW w:type="dxa" w:w="1080"/>
          </w:tcPr>
          <w:p>
            <w:r>
              <w:rPr>
                <w:rFonts w:ascii="Calibri" w:hAnsi="Calibri"/>
                <w:sz w:val="22"/>
              </w:rPr>
              <w:t>N/A</w:t>
            </w:r>
          </w:p>
        </w:tc>
        <w:tc>
          <w:tcPr>
            <w:tcW w:type="dxa" w:w="1080"/>
          </w:tcPr>
          <w:p>
            <w:r>
              <w:rPr>
                <w:rFonts w:ascii="Calibri" w:hAnsi="Calibri"/>
                <w:sz w:val="22"/>
              </w:rPr>
              <w:t>—</w:t>
            </w:r>
          </w:p>
        </w:tc>
        <w:tc>
          <w:tcPr>
            <w:tcW w:type="dxa" w:w="1080"/>
          </w:tcPr>
          <w:p>
            <w:r>
              <w:rPr>
                <w:rFonts w:ascii="Calibri" w:hAnsi="Calibri"/>
                <w:sz w:val="22"/>
              </w:rPr>
              <w:t>N/A</w:t>
            </w:r>
          </w:p>
        </w:tc>
      </w:tr>
    </w:tbl>
    <w:p>
      <w:r>
        <w:rPr>
          <w:rFonts w:ascii="Calibri" w:hAnsi="Calibri"/>
          <w:i/>
          <w:color w:val="525866"/>
          <w:sz w:val="22"/>
        </w:rPr>
        <w:t xml:space="preserve">Source: Visible Alpha Consensus and Actuals Data. </w:t>
      </w:r>
      <w:r>
        <w:rPr>
          <w:rFonts w:ascii="Calibri" w:hAnsi="Calibri"/>
          <w:i/>
          <w:color w:val="525866"/>
          <w:sz w:val="22"/>
        </w:rPr>
        <w:t>Estimates are essentially flat since Q1 earnings across all KPIs (≤1% change), indicating the market has absorbed the Q1 beat and guidance raise without further upward revision — this creates a low-risk bar for Q2 but also limits the magnitude of a potential positive re-rating unless management provides incremental project wins or raises FY guidance again.</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WMB has underperformed both the S&amp;P 500 (+4.0%) and the AMLP midstream ETF (+2.6%) by a wide margin since Q1 earnings (-5.1%), driven by multiple compression on leverage concerns — the July 13 Blackstone JV announcement (reducing 2026E leverage to ~3.6x) has not yet been fully rewarded by the market, suggesting potential for re-rating into Q2 results.</w:t>
      </w:r>
    </w:p>
    <w:p>
      <w:r>
        <w:drawing>
          <wp:inline xmlns:a="http://schemas.openxmlformats.org/drawingml/2006/main" xmlns:pic="http://schemas.openxmlformats.org/drawingml/2006/picture">
            <wp:extent cx="4572000" cy="3265714"/>
            <wp:docPr id="1" name="Picture 1"/>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4572000" cy="3265714"/>
                    </a:xfrm>
                    <a:prstGeom prst="rect"/>
                  </pic:spPr>
                </pic:pic>
              </a:graphicData>
            </a:graphic>
          </wp:inline>
        </w:drawing>
      </w:r>
    </w:p>
    <w:p>
      <w:pPr>
        <w:jc w:val="center"/>
      </w:pPr>
      <w:r>
        <w:rPr>
          <w:i/>
          <w:color w:val="666666"/>
          <w:sz w:val="18"/>
        </w:rPr>
        <w:t>WMB vs. AMLP (Midstream ETF) vs. S&amp;P 500 (SPY) — Indexed to 100 at Q1 2026 Earnings (May 4, 2026). Source: Yahoo Finance / Stock Price Data.</w:t>
      </w:r>
    </w:p>
    <w:p>
      <w:r>
        <w:rPr>
          <w:rFonts w:ascii="Calibri" w:hAnsi="Calibri"/>
          <w:b/>
          <w:color w:val="525866"/>
          <w:sz w:val="22"/>
        </w:rPr>
        <w:t xml:space="preserve">Sector ETF: </w:t>
      </w:r>
      <w:r>
        <w:rPr>
          <w:rFonts w:ascii="Calibri" w:hAnsi="Calibri"/>
          <w:color w:val="525866"/>
          <w:sz w:val="22"/>
        </w:rPr>
        <w:t>AMLP (Alerian MLP ETF) — selected as the primary midstream/pipeline sector benchmark, capturing WMB's core peer group of natural gas infrastructure operators.</w:t>
      </w:r>
      <w:r>
        <w:rPr>
          <w:rFonts w:ascii="Calibri" w:hAnsi="Calibri"/>
          <w:color w:val="525866"/>
          <w:sz w:val="22"/>
        </w:rPr>
        <w:t xml:space="preserve"> Key events marked: (1) July 1, 2026 — Board Expansion (two new independent directors added); (2) July 13, 2026 — Blackstone JV $5.34B announcement (leverage reduced to ~3.6x).</w:t>
      </w:r>
    </w:p>
    <w:p>
      <w:r>
        <w:rPr>
          <w:rFonts w:ascii="Calibri" w:hAnsi="Calibri"/>
          <w:b/>
          <w:color w:val="525866"/>
          <w:sz w:val="22"/>
        </w:rPr>
        <w:t xml:space="preserve">Performance summary: </w:t>
      </w:r>
      <w:r>
        <w:rPr>
          <w:rFonts w:ascii="Calibri" w:hAnsi="Calibri"/>
          <w:color w:val="525866"/>
          <w:sz w:val="22"/>
        </w:rPr>
        <w:t>WMB declined -5.1% from $75.41 to $71.56 since Q1 earnings, while SPY gained +4.0% and AMLP gained +2.6%. The stock peaked at ~$79.40 on May 19 before a sustained sell-off through early June (reaching a low of ~$70.04 on June 1), likely driven by investor concern over the 4.1x leverage ratio disclosed at Q1 earnings and the elevated FY2026 growth CapEx midpoint of $7.3B. The Blackstone JV announcement on July 13 provided a brief lift but the stock has since settled in the $70–$75 range. The underperformance vs. AMLP peers is notable given WMB's superior growth profile, suggesting the market is applying a leverage discount that the JV structure should help resolve.</w:t>
      </w:r>
    </w:p>
    <w:p>
      <w:r>
        <w:rPr>
          <w:rFonts w:ascii="Calibri" w:hAnsi="Calibri"/>
          <w:i/>
          <w:color w:val="525866"/>
          <w:sz w:val="22"/>
        </w:rPr>
        <w:t>Source: Stock Price Data (Yahoo Finance).</w:t>
      </w:r>
    </w:p>
    <w:p>
      <w:r>
        <w:br w:type="page"/>
      </w:r>
    </w:p>
    <w:p>
      <w:pPr>
        <w:pStyle w:val="Heading2"/>
      </w:pPr>
      <w:r>
        <w:rPr>
          <w:rFonts w:ascii="Calibri" w:hAnsi="Calibri"/>
          <w:b/>
          <w:color w:val="3B4259"/>
          <w:sz w:val="28"/>
        </w:rPr>
        <w:t>6. Peer Commentaries — Q2 2026 Read-Throughs</w:t>
      </w:r>
    </w:p>
    <w:p>
      <w:r>
        <w:rPr>
          <w:rFonts w:ascii="Calibri" w:hAnsi="Calibri"/>
          <w:b/>
          <w:color w:val="525866"/>
          <w:sz w:val="22"/>
        </w:rPr>
        <w:t xml:space="preserve">Key Takeaway: </w:t>
      </w:r>
      <w:r>
        <w:rPr>
          <w:rFonts w:ascii="Calibri" w:hAnsi="Calibri"/>
          <w:color w:val="525866"/>
          <w:sz w:val="22"/>
        </w:rPr>
        <w:t>Both KMI (reported July 22) and EPD (reported July 30) delivered strong Q2 2026 results with bullish forward commentary on natural gas volumes, LNG demand, and data center power — all directly read-through positive for WMB's Transco, Haynesville, and Power Innovation businesses heading into the August 3 print.</w:t>
      </w:r>
    </w:p>
    <w:p>
      <w:pPr>
        <w:pStyle w:val="Heading3"/>
      </w:pPr>
      <w:r>
        <w:rPr>
          <w:rFonts w:ascii="Calibri" w:hAnsi="Calibri"/>
          <w:b/>
          <w:color w:val="3B4259"/>
          <w:sz w:val="24"/>
        </w:rPr>
        <w:t>Kinder Morgan (KMI) — Q2 2026 Earnings (Reported July 22, 2026)</w:t>
      </w:r>
    </w:p>
    <w:p>
      <w:r>
        <w:rPr>
          <w:rFonts w:ascii="Calibri" w:hAnsi="Calibri"/>
          <w:b/>
          <w:color w:val="525866"/>
          <w:sz w:val="22"/>
        </w:rPr>
        <w:t xml:space="preserve">Relevance to WMB: </w:t>
      </w:r>
      <w:r>
        <w:rPr>
          <w:rFonts w:ascii="Calibri" w:hAnsi="Calibri"/>
          <w:color w:val="525866"/>
          <w:sz w:val="22"/>
        </w:rPr>
        <w:t>KMI is WMB's closest large-cap natural gas pipeline peer, with overlapping exposure to Haynesville gathering, LNG feed gas, and power/data center demand. KMI's Q2 results are a direct read-through for WMB's Transmission &amp; Gulf of Mexico and West segments.</w:t>
      </w:r>
    </w:p>
    <w:p>
      <w:pPr>
        <w:pStyle w:val="ListBullet"/>
        <w:ind w:left="360" w:hanging="360"/>
      </w:pPr>
      <w:r>
        <w:rPr>
          <w:rFonts w:ascii="Calibri" w:hAnsi="Calibri"/>
          <w:b/>
          <w:color w:val="525866"/>
          <w:sz w:val="22"/>
        </w:rPr>
        <w:t>Natural gas transport volumes +7% YoY; gathering volumes +26% YoY</w:t>
      </w:r>
      <w:r>
        <w:rPr>
          <w:rFonts w:ascii="Calibri" w:hAnsi="Calibri"/>
          <w:color w:val="525866"/>
          <w:sz w:val="22"/>
        </w:rPr>
        <w:t xml:space="preserve"> — Haynesville was the standout, with KMI's Kinderhook system up 54% and overall Haynesville volumes averaging 1.9 Bcf/day (peaking over 2 Bcf/day in June). </w:t>
      </w:r>
    </w:p>
    <w:p>
      <w:pPr>
        <w:pStyle w:val="ListBullet"/>
        <w:ind w:left="360" w:hanging="360"/>
      </w:pPr>
      <w:r>
        <w:rPr>
          <w:rFonts w:ascii="Calibri" w:hAnsi="Calibri"/>
          <w:b/>
          <w:color w:val="525866"/>
          <w:sz w:val="22"/>
        </w:rPr>
        <w:t xml:space="preserve">Read-through for WMB: </w:t>
      </w:r>
      <w:r>
        <w:rPr>
          <w:rFonts w:ascii="Calibri" w:hAnsi="Calibri"/>
          <w:color w:val="525866"/>
          <w:sz w:val="22"/>
        </w:rPr>
        <w:t>WMB's Louisiana Energy Gateway (LEG) pipeline and Haynesville gathering assets should benefit from the same volume ramp. WMB's West segment EBITDA consensus of $388M for Q2 2026 may prove conservative if Haynesville volumes are tracking at KMI's pace.</w:t>
      </w:r>
    </w:p>
    <w:p>
      <w:pPr>
        <w:pStyle w:val="ListBullet"/>
        <w:ind w:left="360" w:hanging="360"/>
      </w:pPr>
      <w:r>
        <w:rPr>
          <w:rFonts w:ascii="Calibri" w:hAnsi="Calibri"/>
          <w:b/>
          <w:color w:val="525866"/>
          <w:sz w:val="22"/>
        </w:rPr>
        <w:t>Data center / power demand: 10+ Bcf/day of projects in development</w:t>
      </w:r>
      <w:r>
        <w:rPr>
          <w:rFonts w:ascii="Calibri" w:hAnsi="Calibri"/>
          <w:color w:val="525866"/>
          <w:sz w:val="22"/>
        </w:rPr>
        <w:t xml:space="preserve"> — KMI disclosed it is “in various stages of development on projects to serve more than ten Bcf a day of natural gas demand in the power generation sector.” Georgia Power's large load report showed 75+ GW of potential power demand through mid-2030s, largely AI-driven. </w:t>
      </w:r>
    </w:p>
    <w:p>
      <w:pPr>
        <w:pStyle w:val="ListBullet"/>
        <w:ind w:left="360" w:hanging="360"/>
      </w:pPr>
      <w:r>
        <w:rPr>
          <w:rFonts w:ascii="Calibri" w:hAnsi="Calibri"/>
          <w:b/>
          <w:color w:val="525866"/>
          <w:sz w:val="22"/>
        </w:rPr>
        <w:t xml:space="preserve">Read-through for WMB: </w:t>
      </w:r>
      <w:r>
        <w:rPr>
          <w:rFonts w:ascii="Calibri" w:hAnsi="Calibri"/>
          <w:color w:val="525866"/>
          <w:sz w:val="22"/>
        </w:rPr>
        <w:t>Validates the scale of the power demand opportunity WMB is pursuing through its Power Innovation projects. KMI's commentary on Southeast expansion (SNG, MS Bridge, NFGT) is directly relevant to WMB's NESE and SESE projects in the same corridor.</w:t>
      </w:r>
    </w:p>
    <w:p>
      <w:pPr>
        <w:pStyle w:val="ListBullet"/>
        <w:ind w:left="360" w:hanging="360"/>
      </w:pPr>
      <w:r>
        <w:rPr>
          <w:rFonts w:ascii="Calibri" w:hAnsi="Calibri"/>
          <w:b/>
          <w:color w:val="525866"/>
          <w:sz w:val="22"/>
        </w:rPr>
        <w:t>LNG feed gas demand: ~3 Bcf/day of LNG projects in development</w:t>
      </w:r>
      <w:r>
        <w:rPr>
          <w:rFonts w:ascii="Calibri" w:hAnsi="Calibri"/>
          <w:color w:val="525866"/>
          <w:sz w:val="22"/>
        </w:rPr>
        <w:t xml:space="preserve"> — KMI cited increased LNG feed gas deliveries on Tennessee Gas Pipeline as a key Q2 driver, and is developing projects to serve ~3 Bcf/day of LNG demand. Commodity prices (Iran conflict) contributed to outperformance across multiple business units.</w:t>
      </w:r>
    </w:p>
    <w:p>
      <w:pPr>
        <w:pStyle w:val="ListBullet"/>
        <w:ind w:left="360" w:hanging="360"/>
      </w:pPr>
      <w:r>
        <w:rPr>
          <w:rFonts w:ascii="Calibri" w:hAnsi="Calibri"/>
          <w:b/>
          <w:color w:val="525866"/>
          <w:sz w:val="22"/>
        </w:rPr>
        <w:t xml:space="preserve">Read-through for WMB: </w:t>
      </w:r>
      <w:r>
        <w:rPr>
          <w:rFonts w:ascii="Calibri" w:hAnsi="Calibri"/>
          <w:color w:val="525866"/>
          <w:sz w:val="22"/>
        </w:rPr>
        <w:t>Positive for WMB's Transco LNG feed gas volumes and the Woodside LNG partnership (2029 first cargo). The geopolitical tailwind reinforces WMB management's view that “things happening in the world today further reinforce the need for the U.S. to be a reliable supplier of LNG.”</w:t>
      </w:r>
    </w:p>
    <w:p>
      <w:pPr>
        <w:pStyle w:val="ListBullet"/>
        <w:ind w:left="360" w:hanging="360"/>
      </w:pPr>
      <w:r>
        <w:rPr>
          <w:rFonts w:ascii="Calibri" w:hAnsi="Calibri"/>
          <w:b/>
          <w:color w:val="525866"/>
          <w:sz w:val="22"/>
        </w:rPr>
        <w:t>Forward outlook: KMI expects to FID “very substantial additional CapEx projects” in H2 2026</w:t>
      </w:r>
      <w:r>
        <w:rPr>
          <w:rFonts w:ascii="Calibri" w:hAnsi="Calibri"/>
          <w:color w:val="525866"/>
          <w:sz w:val="22"/>
        </w:rPr>
        <w:t xml:space="preserve"> — The $10B+ shadow backlog is growing, with management noting “room for the number to move higher.” Mississippi Crossing and South System 4 received final FERC EIS in June and expect FERC certificates by end of July 2026. Trident is ~60% complete.</w:t>
      </w:r>
    </w:p>
    <w:p>
      <w:pPr>
        <w:pStyle w:val="ListBullet"/>
        <w:ind w:left="360" w:hanging="360"/>
      </w:pPr>
      <w:r>
        <w:rPr>
          <w:rFonts w:ascii="Calibri" w:hAnsi="Calibri"/>
          <w:b/>
          <w:color w:val="525866"/>
          <w:sz w:val="22"/>
        </w:rPr>
        <w:t xml:space="preserve">Read-through for WMB: </w:t>
      </w:r>
      <w:r>
        <w:rPr>
          <w:rFonts w:ascii="Calibri" w:hAnsi="Calibri"/>
          <w:color w:val="525866"/>
          <w:sz w:val="22"/>
        </w:rPr>
        <w:t>Confirms the regulatory environment is supportive for large pipeline projects — positive read-through for WMB's NESE and SESE permitting progress. The competitive dynamic (KMI also pursuing Southeast power demand) is worth monitoring but the market appears large enough for multiple winners.</w:t>
      </w:r>
    </w:p>
    <w:p>
      <w:pPr>
        <w:pStyle w:val="ListBullet"/>
        <w:ind w:left="360" w:hanging="360"/>
      </w:pPr>
      <w:r>
        <w:rPr>
          <w:rFonts w:ascii="Calibri" w:hAnsi="Calibri"/>
          <w:b/>
          <w:color w:val="525866"/>
          <w:sz w:val="22"/>
        </w:rPr>
        <w:t>Compression supply chain pressure noted</w:t>
      </w:r>
      <w:r>
        <w:rPr>
          <w:rFonts w:ascii="Calibri" w:hAnsi="Calibri"/>
          <w:color w:val="525866"/>
          <w:sz w:val="22"/>
        </w:rPr>
        <w:t xml:space="preserve"> — KMI acknowledged “pressures on some of the timelines” for compression procurement, though they have “gotten very good at taking into account and dealing with” this over the last two years.</w:t>
      </w:r>
    </w:p>
    <w:p>
      <w:pPr>
        <w:pStyle w:val="ListBullet"/>
        <w:ind w:left="360" w:hanging="360"/>
      </w:pPr>
      <w:r>
        <w:rPr>
          <w:rFonts w:ascii="Calibri" w:hAnsi="Calibri"/>
          <w:b/>
          <w:color w:val="525866"/>
          <w:sz w:val="22"/>
        </w:rPr>
        <w:t xml:space="preserve">Read-through for WMB: </w:t>
      </w:r>
      <w:r>
        <w:rPr>
          <w:rFonts w:ascii="Calibri" w:hAnsi="Calibri"/>
          <w:color w:val="525866"/>
          <w:sz w:val="22"/>
        </w:rPr>
        <w:t>Watch for any commentary on equipment/supply chain for Power Innovation turbines and pipeline compression on the Q2 call. WMB has previously noted it has secured equipment and supply chain for its announced projects.</w:t>
      </w:r>
    </w:p>
    <w:p>
      <w:pPr>
        <w:pStyle w:val="Heading3"/>
      </w:pPr>
      <w:r>
        <w:rPr>
          <w:rFonts w:ascii="Calibri" w:hAnsi="Calibri"/>
          <w:b/>
          <w:color w:val="3B4259"/>
          <w:sz w:val="24"/>
        </w:rPr>
        <w:t>Enterprise Products Partners (EPD) — Q2 2026 Earnings (Reported July 30, 2026)</w:t>
      </w:r>
    </w:p>
    <w:p>
      <w:r>
        <w:rPr>
          <w:rFonts w:ascii="Calibri" w:hAnsi="Calibri"/>
          <w:b/>
          <w:color w:val="525866"/>
          <w:sz w:val="22"/>
        </w:rPr>
        <w:t xml:space="preserve">Relevance to WMB: </w:t>
      </w:r>
      <w:r>
        <w:rPr>
          <w:rFonts w:ascii="Calibri" w:hAnsi="Calibri"/>
          <w:color w:val="525866"/>
          <w:sz w:val="22"/>
        </w:rPr>
        <w:t>EPD is a large-cap midstream operator with significant NGL, natural gas processing, and LNG export exposure. While EPD's business mix differs from WMB (more NGL/crude-focused vs. WMB's pure-play natural gas), EPD's commentary on Haynesville volumes, LNG export demand, and natural gas pricing is directly relevant to WMB's West and Transmission segments.</w:t>
      </w:r>
    </w:p>
    <w:p>
      <w:pPr>
        <w:pStyle w:val="ListBullet"/>
        <w:ind w:left="360" w:hanging="360"/>
      </w:pPr>
      <w:r>
        <w:rPr>
          <w:rFonts w:ascii="Calibri" w:hAnsi="Calibri"/>
          <w:b/>
          <w:color w:val="525866"/>
          <w:sz w:val="22"/>
        </w:rPr>
        <w:t>Record pipeline and marine terminal volumes; total pipeline volumes +8% YoY, marine terminals +33% YoY</w:t>
      </w:r>
      <w:r>
        <w:rPr>
          <w:rFonts w:ascii="Calibri" w:hAnsi="Calibri"/>
          <w:color w:val="525866"/>
          <w:sz w:val="22"/>
        </w:rPr>
        <w:t xml:space="preserve"> — EPD moved 14.7 million barrels/day of oil equivalent in Q2. Strong global demand for U.S. energy in April and May generated ~$200M of additional revenue (split ~1/3 NGLs, 1/3 crude, 1/3 petrochemicals). Management noted these “strong cash differentials have largely normalized since then.”</w:t>
      </w:r>
    </w:p>
    <w:p>
      <w:pPr>
        <w:pStyle w:val="ListBullet"/>
        <w:ind w:left="360" w:hanging="360"/>
      </w:pPr>
      <w:r>
        <w:rPr>
          <w:rFonts w:ascii="Calibri" w:hAnsi="Calibri"/>
          <w:b/>
          <w:color w:val="525866"/>
          <w:sz w:val="22"/>
        </w:rPr>
        <w:t xml:space="preserve">Read-through for WMB: </w:t>
      </w:r>
      <w:r>
        <w:rPr>
          <w:rFonts w:ascii="Calibri" w:hAnsi="Calibri"/>
          <w:color w:val="525866"/>
          <w:sz w:val="22"/>
        </w:rPr>
        <w:t>The April-May demand surge (partly driven by Iran conflict/geopolitical risk) likely benefited WMB's Sequent Marketing business (which had $227M EBITDA in Q1 2026). The normalization since May is a mild headwind for WMB's marketing segment in Q2, but core infrastructure volumes should remain strong.</w:t>
      </w:r>
    </w:p>
    <w:p>
      <w:pPr>
        <w:pStyle w:val="ListBullet"/>
        <w:ind w:left="360" w:hanging="360"/>
      </w:pPr>
      <w:r>
        <w:rPr>
          <w:rFonts w:ascii="Calibri" w:hAnsi="Calibri"/>
          <w:b/>
          <w:color w:val="525866"/>
          <w:sz w:val="22"/>
        </w:rPr>
        <w:t>Haynesville natural gas production “slowly increasing”, nearing 16 Bcf; Louisiana intrastate system “sold out”</w:t>
      </w:r>
      <w:r>
        <w:rPr>
          <w:rFonts w:ascii="Calibri" w:hAnsi="Calibri"/>
          <w:color w:val="525866"/>
          <w:sz w:val="22"/>
        </w:rPr>
        <w:t xml:space="preserve"> — EPD's Louisiana intrastate system (including Haynesville extension) is experiencing “large demand” and is currently sold out. The lateral to Gillis (serving LNG markets) is running 800 MMcf–1 Bcf/day and also sold out.</w:t>
      </w:r>
    </w:p>
    <w:p>
      <w:pPr>
        <w:pStyle w:val="ListBullet"/>
        <w:ind w:left="360" w:hanging="360"/>
      </w:pPr>
      <w:r>
        <w:rPr>
          <w:rFonts w:ascii="Calibri" w:hAnsi="Calibri"/>
          <w:b/>
          <w:color w:val="525866"/>
          <w:sz w:val="22"/>
        </w:rPr>
        <w:t xml:space="preserve">Read-through for WMB: </w:t>
      </w:r>
      <w:r>
        <w:rPr>
          <w:rFonts w:ascii="Calibri" w:hAnsi="Calibri"/>
          <w:color w:val="525866"/>
          <w:sz w:val="22"/>
        </w:rPr>
        <w:t>Directly positive for WMB's LEG pipeline and Haynesville gathering volumes. The “sold out” status of competing infrastructure validates WMB's investment thesis that additional capacity (LEG, future expansions) will be absorbed quickly. Haynesville volume growth is the key driver of WMB's West segment EBITDA trajectory.</w:t>
      </w:r>
    </w:p>
    <w:p>
      <w:pPr>
        <w:pStyle w:val="ListBullet"/>
        <w:ind w:left="360" w:hanging="360"/>
      </w:pPr>
      <w:r>
        <w:rPr>
          <w:rFonts w:ascii="Calibri" w:hAnsi="Calibri"/>
          <w:b/>
          <w:color w:val="525866"/>
          <w:sz w:val="22"/>
        </w:rPr>
        <w:t>Permian natural gas processing inlet volumes +14% YoY to 1.1 Bcf/day; total basin inlet 4.3 Bcf/day</w:t>
      </w:r>
      <w:r>
        <w:rPr>
          <w:rFonts w:ascii="Calibri" w:hAnsi="Calibri"/>
          <w:color w:val="525866"/>
          <w:sz w:val="22"/>
        </w:rPr>
        <w:t xml:space="preserve"> — EPD approved two new 300 MMcf/day processing plants (Plant 11 in Midland, Plant 13 in Delaware). Delaware Plant 13 in service Q3 2028, Plant 11 in Q1 2029.</w:t>
      </w:r>
    </w:p>
    <w:p>
      <w:pPr>
        <w:pStyle w:val="ListBullet"/>
        <w:ind w:left="360" w:hanging="360"/>
      </w:pPr>
      <w:r>
        <w:rPr>
          <w:rFonts w:ascii="Calibri" w:hAnsi="Calibri"/>
          <w:b/>
          <w:color w:val="525866"/>
          <w:sz w:val="22"/>
        </w:rPr>
        <w:t xml:space="preserve">Read-through for WMB: </w:t>
      </w:r>
      <w:r>
        <w:rPr>
          <w:rFonts w:ascii="Calibri" w:hAnsi="Calibri"/>
          <w:color w:val="525866"/>
          <w:sz w:val="22"/>
        </w:rPr>
        <w:t>Less direct (WMB has limited Permian exposure), but confirms continued producer activity and NGL volume growth that supports WMB's West segment NGL processing margins.</w:t>
      </w:r>
    </w:p>
    <w:p>
      <w:pPr>
        <w:pStyle w:val="ListBullet"/>
        <w:ind w:left="360" w:hanging="360"/>
      </w:pPr>
      <w:r>
        <w:rPr>
          <w:rFonts w:ascii="Calibri" w:hAnsi="Calibri"/>
          <w:b/>
          <w:color w:val="525866"/>
          <w:sz w:val="22"/>
        </w:rPr>
        <w:t>LNG export demand: “strong interest” from countries shifting away from Middle East supply</w:t>
      </w:r>
      <w:r>
        <w:rPr>
          <w:rFonts w:ascii="Calibri" w:hAnsi="Calibri"/>
          <w:color w:val="525866"/>
          <w:sz w:val="22"/>
        </w:rPr>
        <w:t xml:space="preserve"> — EPD noted an “increased number of countries, particularly those historically dependent on the Middle East, looking to shift their long-term supply sourcing to the U.S.” due to growing U.S. exports.</w:t>
      </w:r>
    </w:p>
    <w:p>
      <w:pPr>
        <w:pStyle w:val="ListBullet"/>
        <w:ind w:left="360" w:hanging="360"/>
      </w:pPr>
      <w:r>
        <w:rPr>
          <w:rFonts w:ascii="Calibri" w:hAnsi="Calibri"/>
          <w:b/>
          <w:color w:val="525866"/>
          <w:sz w:val="22"/>
        </w:rPr>
        <w:t xml:space="preserve">Read-through for WMB: </w:t>
      </w:r>
      <w:r>
        <w:rPr>
          <w:rFonts w:ascii="Calibri" w:hAnsi="Calibri"/>
          <w:color w:val="525866"/>
          <w:sz w:val="22"/>
        </w:rPr>
        <w:t>Reinforces the structural LNG demand tailwind underpinning WMB's Woodside partnership and Transco LNG feed gas volumes. The geopolitical shift toward U.S. LNG supply is a multi-year tailwind for WMB's wellhead-to-water strategy.</w:t>
      </w:r>
    </w:p>
    <w:p>
      <w:pPr>
        <w:pStyle w:val="ListBullet"/>
        <w:ind w:left="360" w:hanging="360"/>
      </w:pPr>
      <w:r>
        <w:rPr>
          <w:rFonts w:ascii="Calibri" w:hAnsi="Calibri"/>
          <w:b/>
          <w:color w:val="525866"/>
          <w:sz w:val="22"/>
        </w:rPr>
        <w:t>FY2027 EBITDA growth guided at ~10%; growth CapEx ~$3B</w:t>
      </w:r>
      <w:r>
        <w:rPr>
          <w:rFonts w:ascii="Calibri" w:hAnsi="Calibri"/>
          <w:color w:val="525866"/>
          <w:sz w:val="22"/>
        </w:rPr>
        <w:t xml:space="preserve"> — EPD expects ~10% EBITDA growth in 2027, primarily from volume increases (including Oxy Rock system acquisition in early 2027) rather than commodity price benefits. Growth CapEx of ~$3B may represent a “new baseline.”</w:t>
      </w:r>
    </w:p>
    <w:p>
      <w:pPr>
        <w:pStyle w:val="ListBullet"/>
        <w:ind w:left="360" w:hanging="360"/>
      </w:pPr>
      <w:r>
        <w:rPr>
          <w:rFonts w:ascii="Calibri" w:hAnsi="Calibri"/>
          <w:b/>
          <w:color w:val="525866"/>
          <w:sz w:val="22"/>
        </w:rPr>
        <w:t xml:space="preserve">Read-through for WMB: </w:t>
      </w:r>
      <w:r>
        <w:rPr>
          <w:rFonts w:ascii="Calibri" w:hAnsi="Calibri"/>
          <w:color w:val="525866"/>
          <w:sz w:val="22"/>
        </w:rPr>
        <w:t>EPD's 10% EBITDA growth target for 2027 is consistent with WMB's own 10%+ CAGR target through 2030. The sector-wide growth narrative is intact, which is supportive of WMB's premium valuation multiple.</w:t>
      </w:r>
    </w:p>
    <w:p>
      <w:pPr>
        <w:pStyle w:val="ListBullet"/>
        <w:ind w:left="360" w:hanging="360"/>
      </w:pPr>
      <w:r>
        <w:rPr>
          <w:rFonts w:ascii="Calibri" w:hAnsi="Calibri"/>
          <w:b/>
          <w:color w:val="525866"/>
          <w:sz w:val="22"/>
        </w:rPr>
        <w:t>Natural gas pricing: “pretty strong Waha prices”; producers need “healthy Waha gas price” (not necessarily positive) to bring flush production online</w:t>
      </w:r>
    </w:p>
    <w:p>
      <w:pPr>
        <w:pStyle w:val="ListBullet"/>
        <w:ind w:left="360" w:hanging="360"/>
      </w:pPr>
      <w:r>
        <w:rPr>
          <w:rFonts w:ascii="Calibri" w:hAnsi="Calibri"/>
          <w:b/>
          <w:color w:val="525866"/>
          <w:sz w:val="22"/>
        </w:rPr>
        <w:t xml:space="preserve">Read-through for WMB: </w:t>
      </w:r>
      <w:r>
        <w:rPr>
          <w:rFonts w:ascii="Calibri" w:hAnsi="Calibri"/>
          <w:color w:val="525866"/>
          <w:sz w:val="22"/>
        </w:rPr>
        <w:t>Waha pricing dynamics are less directly relevant to WMB (Transco is the primary asset, not Permian-exposed), but the commentary on producer activity and flush production timing is relevant to WMB's West segment gathering volumes.</w:t>
      </w:r>
    </w:p>
    <w:p>
      <w:pPr>
        <w:pStyle w:val="Heading3"/>
      </w:pPr>
      <w:r>
        <w:rPr>
          <w:rFonts w:ascii="Calibri" w:hAnsi="Calibri"/>
          <w:b/>
          <w:color w:val="3B4259"/>
          <w:sz w:val="24"/>
        </w:rPr>
        <w:t>Peer Read-Through Summary</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color="auto" w:fill="3B4259"/>
          </w:tcPr>
          <w:p>
            <w:r>
              <w:rPr>
                <w:rFonts w:ascii="Calibri" w:hAnsi="Calibri"/>
                <w:b/>
                <w:color w:val="FFFFFF"/>
                <w:sz w:val="22"/>
              </w:rPr>
              <w:t>Theme</w:t>
            </w:r>
          </w:p>
        </w:tc>
        <w:tc>
          <w:tcPr>
            <w:tcW w:type="dxa" w:w="2160"/>
            <w:shd w:val="clear" w:color="auto" w:fill="3B4259"/>
          </w:tcPr>
          <w:p>
            <w:r>
              <w:rPr>
                <w:rFonts w:ascii="Calibri" w:hAnsi="Calibri"/>
                <w:b/>
                <w:color w:val="FFFFFF"/>
                <w:sz w:val="22"/>
              </w:rPr>
              <w:t>KMI Signal</w:t>
            </w:r>
          </w:p>
        </w:tc>
        <w:tc>
          <w:tcPr>
            <w:tcW w:type="dxa" w:w="2160"/>
            <w:shd w:val="clear" w:color="auto" w:fill="3B4259"/>
          </w:tcPr>
          <w:p>
            <w:r>
              <w:rPr>
                <w:rFonts w:ascii="Calibri" w:hAnsi="Calibri"/>
                <w:b/>
                <w:color w:val="FFFFFF"/>
                <w:sz w:val="22"/>
              </w:rPr>
              <w:t>EPD Signal</w:t>
            </w:r>
          </w:p>
        </w:tc>
        <w:tc>
          <w:tcPr>
            <w:tcW w:type="dxa" w:w="2160"/>
            <w:shd w:val="clear" w:color="auto" w:fill="3B4259"/>
          </w:tcPr>
          <w:p>
            <w:r>
              <w:rPr>
                <w:rFonts w:ascii="Calibri" w:hAnsi="Calibri"/>
                <w:b/>
                <w:color w:val="FFFFFF"/>
                <w:sz w:val="22"/>
              </w:rPr>
              <w:t>WMB Read-Through</w:t>
            </w:r>
          </w:p>
        </w:tc>
      </w:tr>
      <w:tr>
        <w:tc>
          <w:tcPr>
            <w:tcW w:type="dxa" w:w="2160"/>
          </w:tcPr>
          <w:p>
            <w:r>
              <w:rPr>
                <w:rFonts w:ascii="Calibri" w:hAnsi="Calibri"/>
                <w:sz w:val="22"/>
              </w:rPr>
              <w:t>Natural Gas Volumes</w:t>
            </w:r>
          </w:p>
        </w:tc>
        <w:tc>
          <w:tcPr>
            <w:tcW w:type="dxa" w:w="2160"/>
          </w:tcPr>
          <w:p>
            <w:r>
              <w:rPr>
                <w:rFonts w:ascii="Calibri" w:hAnsi="Calibri"/>
                <w:b/>
                <w:color w:val="30A46C"/>
                <w:sz w:val="22"/>
              </w:rPr>
              <w:t>Positive</w:t>
            </w:r>
          </w:p>
        </w:tc>
        <w:tc>
          <w:tcPr>
            <w:tcW w:type="dxa" w:w="2160"/>
          </w:tcPr>
          <w:p>
            <w:r>
              <w:rPr>
                <w:rFonts w:ascii="Calibri" w:hAnsi="Calibri"/>
                <w:b/>
                <w:color w:val="30A46C"/>
                <w:sz w:val="22"/>
              </w:rPr>
              <w:t>Positive</w:t>
            </w:r>
          </w:p>
        </w:tc>
        <w:tc>
          <w:tcPr>
            <w:tcW w:type="dxa" w:w="2160"/>
          </w:tcPr>
          <w:p>
            <w:r>
              <w:rPr>
                <w:rFonts w:ascii="Calibri" w:hAnsi="Calibri"/>
                <w:sz w:val="22"/>
              </w:rPr>
              <w:t>Positive — Transco &amp; West segment volumes likely strong</w:t>
            </w:r>
          </w:p>
        </w:tc>
      </w:tr>
      <w:tr>
        <w:tc>
          <w:tcPr>
            <w:tcW w:type="dxa" w:w="2160"/>
          </w:tcPr>
          <w:p>
            <w:r>
              <w:rPr>
                <w:rFonts w:ascii="Calibri" w:hAnsi="Calibri"/>
                <w:sz w:val="22"/>
              </w:rPr>
              <w:t>Haynesville Growth</w:t>
            </w:r>
          </w:p>
        </w:tc>
        <w:tc>
          <w:tcPr>
            <w:tcW w:type="dxa" w:w="2160"/>
          </w:tcPr>
          <w:p>
            <w:r>
              <w:rPr>
                <w:rFonts w:ascii="Calibri" w:hAnsi="Calibri"/>
                <w:b/>
                <w:color w:val="30A46C"/>
                <w:sz w:val="22"/>
              </w:rPr>
              <w:t>Very Positive (+54% Kinderhook)</w:t>
            </w:r>
          </w:p>
        </w:tc>
        <w:tc>
          <w:tcPr>
            <w:tcW w:type="dxa" w:w="2160"/>
          </w:tcPr>
          <w:p>
            <w:r>
              <w:rPr>
                <w:rFonts w:ascii="Calibri" w:hAnsi="Calibri"/>
                <w:b/>
                <w:color w:val="30A46C"/>
                <w:sz w:val="22"/>
              </w:rPr>
              <w:t>Positive (sold out infrastructure)</w:t>
            </w:r>
          </w:p>
        </w:tc>
        <w:tc>
          <w:tcPr>
            <w:tcW w:type="dxa" w:w="2160"/>
          </w:tcPr>
          <w:p>
            <w:r>
              <w:rPr>
                <w:rFonts w:ascii="Calibri" w:hAnsi="Calibri"/>
                <w:sz w:val="22"/>
              </w:rPr>
              <w:t>Positive — LEG pipeline and West segment EBITDA upside risk</w:t>
            </w:r>
          </w:p>
        </w:tc>
      </w:tr>
      <w:tr>
        <w:tc>
          <w:tcPr>
            <w:tcW w:type="dxa" w:w="2160"/>
          </w:tcPr>
          <w:p>
            <w:r>
              <w:rPr>
                <w:rFonts w:ascii="Calibri" w:hAnsi="Calibri"/>
                <w:sz w:val="22"/>
              </w:rPr>
              <w:t>LNG Demand</w:t>
            </w:r>
          </w:p>
        </w:tc>
        <w:tc>
          <w:tcPr>
            <w:tcW w:type="dxa" w:w="2160"/>
          </w:tcPr>
          <w:p>
            <w:r>
              <w:rPr>
                <w:rFonts w:ascii="Calibri" w:hAnsi="Calibri"/>
                <w:b/>
                <w:color w:val="30A46C"/>
                <w:sz w:val="22"/>
              </w:rPr>
              <w:t>Positive (3 Bcf/day in development)</w:t>
            </w:r>
          </w:p>
        </w:tc>
        <w:tc>
          <w:tcPr>
            <w:tcW w:type="dxa" w:w="2160"/>
          </w:tcPr>
          <w:p>
            <w:r>
              <w:rPr>
                <w:rFonts w:ascii="Calibri" w:hAnsi="Calibri"/>
                <w:b/>
                <w:color w:val="30A46C"/>
                <w:sz w:val="22"/>
              </w:rPr>
              <w:t>Positive (geopolitical shift to U.S. LNG)</w:t>
            </w:r>
          </w:p>
        </w:tc>
        <w:tc>
          <w:tcPr>
            <w:tcW w:type="dxa" w:w="2160"/>
          </w:tcPr>
          <w:p>
            <w:r>
              <w:rPr>
                <w:rFonts w:ascii="Calibri" w:hAnsi="Calibri"/>
                <w:sz w:val="22"/>
              </w:rPr>
              <w:t>Positive — Woodside partnership and Transco LNG feed gas</w:t>
            </w:r>
          </w:p>
        </w:tc>
      </w:tr>
      <w:tr>
        <w:tc>
          <w:tcPr>
            <w:tcW w:type="dxa" w:w="2160"/>
          </w:tcPr>
          <w:p>
            <w:r>
              <w:rPr>
                <w:rFonts w:ascii="Calibri" w:hAnsi="Calibri"/>
                <w:sz w:val="22"/>
              </w:rPr>
              <w:t>Data Center / Power Demand</w:t>
            </w:r>
          </w:p>
        </w:tc>
        <w:tc>
          <w:tcPr>
            <w:tcW w:type="dxa" w:w="2160"/>
          </w:tcPr>
          <w:p>
            <w:r>
              <w:rPr>
                <w:rFonts w:ascii="Calibri" w:hAnsi="Calibri"/>
                <w:b/>
                <w:color w:val="30A46C"/>
                <w:sz w:val="22"/>
              </w:rPr>
              <w:t>Very Positive (10+ Bcf/day pipeline)</w:t>
            </w:r>
          </w:p>
        </w:tc>
        <w:tc>
          <w:tcPr>
            <w:tcW w:type="dxa" w:w="2160"/>
          </w:tcPr>
          <w:p>
            <w:r>
              <w:rPr>
                <w:rFonts w:ascii="Calibri" w:hAnsi="Calibri"/>
                <w:sz w:val="22"/>
              </w:rPr>
              <w:t>Not specifically mentioned</w:t>
            </w:r>
          </w:p>
        </w:tc>
        <w:tc>
          <w:tcPr>
            <w:tcW w:type="dxa" w:w="2160"/>
          </w:tcPr>
          <w:p>
            <w:r>
              <w:rPr>
                <w:rFonts w:ascii="Calibri" w:hAnsi="Calibri"/>
                <w:sz w:val="22"/>
              </w:rPr>
              <w:t>Positive — Validates Power Innovation opportunity scale</w:t>
            </w:r>
          </w:p>
        </w:tc>
      </w:tr>
      <w:tr>
        <w:tc>
          <w:tcPr>
            <w:tcW w:type="dxa" w:w="2160"/>
          </w:tcPr>
          <w:p>
            <w:r>
              <w:rPr>
                <w:rFonts w:ascii="Calibri" w:hAnsi="Calibri"/>
                <w:sz w:val="22"/>
              </w:rPr>
              <w:t>Marketing / Commodity Revenues</w:t>
            </w:r>
          </w:p>
        </w:tc>
        <w:tc>
          <w:tcPr>
            <w:tcW w:type="dxa" w:w="2160"/>
          </w:tcPr>
          <w:p>
            <w:r>
              <w:rPr>
                <w:rFonts w:ascii="Calibri" w:hAnsi="Calibri"/>
                <w:sz w:val="22"/>
              </w:rPr>
              <w:t>Neutral (commodity prices normalized)</w:t>
            </w:r>
          </w:p>
        </w:tc>
        <w:tc>
          <w:tcPr>
            <w:tcW w:type="dxa" w:w="2160"/>
          </w:tcPr>
          <w:p>
            <w:r>
              <w:rPr>
                <w:rFonts w:ascii="Calibri" w:hAnsi="Calibri"/>
                <w:b/>
                <w:color w:val="E5484D"/>
                <w:sz w:val="22"/>
              </w:rPr>
              <w:t>Mild headwind (April-May surge normalized)</w:t>
            </w:r>
          </w:p>
        </w:tc>
        <w:tc>
          <w:tcPr>
            <w:tcW w:type="dxa" w:w="2160"/>
          </w:tcPr>
          <w:p>
            <w:r>
              <w:rPr>
                <w:rFonts w:ascii="Calibri" w:hAnsi="Calibri"/>
                <w:sz w:val="22"/>
              </w:rPr>
              <w:t>Mild negative — Sequent Marketing may see lower Q2 vs. Q1</w:t>
            </w:r>
          </w:p>
        </w:tc>
      </w:tr>
      <w:tr>
        <w:tc>
          <w:tcPr>
            <w:tcW w:type="dxa" w:w="2160"/>
          </w:tcPr>
          <w:p>
            <w:r>
              <w:rPr>
                <w:rFonts w:ascii="Calibri" w:hAnsi="Calibri"/>
                <w:sz w:val="22"/>
              </w:rPr>
              <w:t>Regulatory / Permitting</w:t>
            </w:r>
          </w:p>
        </w:tc>
        <w:tc>
          <w:tcPr>
            <w:tcW w:type="dxa" w:w="2160"/>
          </w:tcPr>
          <w:p>
            <w:r>
              <w:rPr>
                <w:rFonts w:ascii="Calibri" w:hAnsi="Calibri"/>
                <w:b/>
                <w:color w:val="30A46C"/>
                <w:sz w:val="22"/>
              </w:rPr>
              <w:t>Positive (FERC EIS received)</w:t>
            </w:r>
          </w:p>
        </w:tc>
        <w:tc>
          <w:tcPr>
            <w:tcW w:type="dxa" w:w="2160"/>
          </w:tcPr>
          <w:p>
            <w:r>
              <w:rPr>
                <w:rFonts w:ascii="Calibri" w:hAnsi="Calibri"/>
                <w:sz w:val="22"/>
              </w:rPr>
              <w:t>N/A</w:t>
            </w:r>
          </w:p>
        </w:tc>
        <w:tc>
          <w:tcPr>
            <w:tcW w:type="dxa" w:w="2160"/>
          </w:tcPr>
          <w:p>
            <w:r>
              <w:rPr>
                <w:rFonts w:ascii="Calibri" w:hAnsi="Calibri"/>
                <w:sz w:val="22"/>
              </w:rPr>
              <w:t>Positive — Supportive environment for NESE/SESE</w:t>
            </w:r>
          </w:p>
        </w:tc>
      </w:tr>
      <w:tr>
        <w:tc>
          <w:tcPr>
            <w:tcW w:type="dxa" w:w="2160"/>
          </w:tcPr>
          <w:p>
            <w:r>
              <w:rPr>
                <w:rFonts w:ascii="Calibri" w:hAnsi="Calibri"/>
                <w:sz w:val="22"/>
              </w:rPr>
              <w:t>Supply Chain / Compression</w:t>
            </w:r>
          </w:p>
        </w:tc>
        <w:tc>
          <w:tcPr>
            <w:tcW w:type="dxa" w:w="2160"/>
          </w:tcPr>
          <w:p>
            <w:r>
              <w:rPr>
                <w:rFonts w:ascii="Calibri" w:hAnsi="Calibri"/>
                <w:b/>
                <w:color w:val="E5484D"/>
                <w:sz w:val="22"/>
              </w:rPr>
              <w:t>Mild caution (timeline pressures)</w:t>
            </w:r>
          </w:p>
        </w:tc>
        <w:tc>
          <w:tcPr>
            <w:tcW w:type="dxa" w:w="2160"/>
          </w:tcPr>
          <w:p>
            <w:r>
              <w:rPr>
                <w:rFonts w:ascii="Calibri" w:hAnsi="Calibri"/>
                <w:sz w:val="22"/>
              </w:rPr>
              <w:t>N/A</w:t>
            </w:r>
          </w:p>
        </w:tc>
        <w:tc>
          <w:tcPr>
            <w:tcW w:type="dxa" w:w="2160"/>
          </w:tcPr>
          <w:p>
            <w:r>
              <w:rPr>
                <w:rFonts w:ascii="Calibri" w:hAnsi="Calibri"/>
                <w:sz w:val="22"/>
              </w:rPr>
              <w:t>Watch — Monitor WMB commentary on Power Innovation equipment</w:t>
            </w:r>
          </w:p>
        </w:tc>
      </w:tr>
    </w:tbl>
    <w:p>
      <w:r>
        <w:br w:type="page"/>
      </w:r>
    </w:p>
    <w:p>
      <w:pPr>
        <w:pStyle w:val="Heading2"/>
      </w:pPr>
      <w:r>
        <w:rPr>
          <w:rFonts w:ascii="Calibri" w:hAnsi="Calibri"/>
          <w:b/>
          <w:color w:val="3B4259"/>
          <w:sz w:val="28"/>
        </w:rPr>
        <w:t>7. Material News &amp; Developments</w:t>
      </w:r>
    </w:p>
    <w:p>
      <w:r>
        <w:rPr>
          <w:rFonts w:ascii="Calibri" w:hAnsi="Calibri"/>
          <w:b/>
          <w:color w:val="525866"/>
          <w:sz w:val="22"/>
        </w:rPr>
        <w:t xml:space="preserve">Key Takeaway: </w:t>
      </w:r>
      <w:r>
        <w:rPr>
          <w:rFonts w:ascii="Calibri" w:hAnsi="Calibri"/>
          <w:color w:val="525866"/>
          <w:sz w:val="22"/>
        </w:rPr>
        <w:t>The July 13 Blackstone JV ($5.34B at ~6.35% cost of equity, reducing 2026E leverage to ~3.6x) is the most consequential post-earnings development — it directly resolves the market's primary concern about balance sheet capacity and positions WMB to accelerate Power Innovation project wins from its 6+ GW backlog.</w:t>
      </w:r>
    </w:p>
    <w:p>
      <w:pPr>
        <w:pStyle w:val="ListBullet"/>
        <w:ind w:left="360" w:hanging="360"/>
      </w:pPr>
      <w:r>
        <w:rPr>
          <w:rFonts w:ascii="Calibri" w:hAnsi="Calibri"/>
          <w:b/>
          <w:color w:val="525866"/>
          <w:sz w:val="22"/>
        </w:rPr>
        <w:t>July 13, 2026 — Blackstone JV: $5.34B Power Innovation Joint Venture Financing (8-K)</w:t>
      </w:r>
      <w:r>
        <w:rPr>
          <w:rFonts w:ascii="Calibri" w:hAnsi="Calibri"/>
          <w:color w:val="525866"/>
          <w:sz w:val="22"/>
        </w:rPr>
        <w:t xml:space="preserve">. Williams announced a $5.34B investment from Blackstone Credit &amp; Insurance (with Apollo and KKR) for a 49% noncontrolling equity interest in five Power Innovation projects (Socrates, Apollo, Aquila, Socrates the Younger, Neo). Key terms: $4.4B represents 49% of expected total growth CapEx; ~$0.9B additional consideration to WMB; Blackstone target return of 6.35% with no participation in long-term upside; WMB retains 51% interest and full operational control; buyout right exercisable years 7–14 at Blackstone's outstanding investment balance. Capital receives full equity treatment, reducing 2026E leverage midpoint to ~3.6x (from 4.1x). WMB reaffirmed FY2026 EBITDA guidance (upper half of $8.05–$8.35B range) and growth CapEx guidance ($7.0–$7.6B). </w:t>
      </w:r>
      <w:r>
        <w:rPr>
          <w:rFonts w:ascii="Calibri" w:hAnsi="Calibri"/>
          <w:b/>
          <w:color w:val="525866"/>
          <w:sz w:val="22"/>
        </w:rPr>
        <w:t xml:space="preserve">Implication: </w:t>
      </w:r>
      <w:r>
        <w:rPr>
          <w:rFonts w:ascii="Calibri" w:hAnsi="Calibri"/>
          <w:color w:val="525866"/>
          <w:sz w:val="22"/>
        </w:rPr>
        <w:t>Removes the primary bear case (leverage overage); the promote structure enhances project returns; frees capital for additional Power Innovation projects from the 6+ GW backlog. This is the single most important development since Q1 earnings.</w:t>
      </w:r>
    </w:p>
    <w:p>
      <w:pPr>
        <w:pStyle w:val="ListBullet"/>
        <w:ind w:left="360" w:hanging="360"/>
      </w:pPr>
      <w:r>
        <w:rPr>
          <w:rFonts w:ascii="Calibri" w:hAnsi="Calibri"/>
          <w:b/>
          <w:color w:val="525866"/>
          <w:sz w:val="22"/>
        </w:rPr>
        <w:t>July 1, 2026 — Board Expansion: Two New Independent Directors Added (8-K)</w:t>
      </w:r>
      <w:r>
        <w:rPr>
          <w:rFonts w:ascii="Calibri" w:hAnsi="Calibri"/>
          <w:color w:val="525866"/>
          <w:sz w:val="22"/>
        </w:rPr>
        <w:t xml:space="preserve">. Williams expanded its Board of Directors with two new independent directors. </w:t>
      </w:r>
      <w:r>
        <w:rPr>
          <w:rFonts w:ascii="Calibri" w:hAnsi="Calibri"/>
          <w:b/>
          <w:color w:val="525866"/>
          <w:sz w:val="22"/>
        </w:rPr>
        <w:t xml:space="preserve">Implication: </w:t>
      </w:r>
      <w:r>
        <w:rPr>
          <w:rFonts w:ascii="Calibri" w:hAnsi="Calibri"/>
          <w:color w:val="525866"/>
          <w:sz w:val="22"/>
        </w:rPr>
        <w:t>Governance enhancement; likely related to the growing complexity of Power Innovation JV structures and capital allocation decisions. Neutral to mildly positive.</w:t>
      </w:r>
    </w:p>
    <w:p>
      <w:pPr>
        <w:pStyle w:val="ListBullet"/>
        <w:ind w:left="360" w:hanging="360"/>
      </w:pPr>
      <w:r>
        <w:rPr>
          <w:rFonts w:ascii="Calibri" w:hAnsi="Calibri"/>
          <w:b/>
          <w:color w:val="525866"/>
          <w:sz w:val="22"/>
        </w:rPr>
        <w:t>July 14, 2026 — Q2 2026 Earnings Date Confirmed (Press Release)</w:t>
      </w:r>
      <w:r>
        <w:rPr>
          <w:rFonts w:ascii="Calibri" w:hAnsi="Calibri"/>
          <w:color w:val="525866"/>
          <w:sz w:val="22"/>
        </w:rPr>
        <w:t xml:space="preserve">. Williams confirmed results release on August 3, 2026 (after market close) and earnings call on August 4, 2026. </w:t>
      </w:r>
      <w:r>
        <w:rPr>
          <w:rFonts w:ascii="Calibri" w:hAnsi="Calibri"/>
          <w:b/>
          <w:color w:val="525866"/>
          <w:sz w:val="22"/>
        </w:rPr>
        <w:t xml:space="preserve">Implication: </w:t>
      </w:r>
      <w:r>
        <w:rPr>
          <w:rFonts w:ascii="Calibri" w:hAnsi="Calibri"/>
          <w:color w:val="525866"/>
          <w:sz w:val="22"/>
        </w:rPr>
        <w:t>Procedural; confirms timeline for this preview.</w:t>
      </w:r>
    </w:p>
    <w:p>
      <w:pPr>
        <w:pStyle w:val="ListBullet"/>
        <w:ind w:left="360" w:hanging="360"/>
      </w:pPr>
      <w:r>
        <w:rPr>
          <w:rFonts w:ascii="Calibri" w:hAnsi="Calibri"/>
          <w:b/>
          <w:color w:val="525866"/>
          <w:sz w:val="22"/>
        </w:rPr>
        <w:t>May 4–5, 2026 — Q1 2026 Earnings: Record EBITDA, Three New Projects, Guidance Raised</w:t>
      </w:r>
      <w:r>
        <w:rPr>
          <w:rFonts w:ascii="Calibri" w:hAnsi="Calibri"/>
          <w:color w:val="525866"/>
          <w:sz w:val="22"/>
        </w:rPr>
        <w:t xml:space="preserve">. WMB reported record Q1 2026 Adjusted EBITDA of $2.254B (+13% YoY), raised FY2026 guidance to upper half of $8.05–$8.35B range, announced three new projects (Neo — 682 MW, $2.3B, 12.5-year contract; Atlas — 164 MMcf/day data center backup, 13-year term, in-service by year-end 2026; Silver Spur — 275 MMcf/day Northwest pipeline expansion, in-service early 2030), and upsized Power Express to 750 MMcf/day. Growth CapEx midpoint raised to $7.3B due to Neo addition; leverage moved to 4.1x (above 3.5–4.0x target). </w:t>
      </w:r>
      <w:r>
        <w:rPr>
          <w:rFonts w:ascii="Calibri" w:hAnsi="Calibri"/>
          <w:b/>
          <w:color w:val="525866"/>
          <w:sz w:val="22"/>
        </w:rPr>
        <w:t xml:space="preserve">Implication: </w:t>
      </w:r>
      <w:r>
        <w:rPr>
          <w:rFonts w:ascii="Calibri" w:hAnsi="Calibri"/>
          <w:color w:val="525866"/>
          <w:sz w:val="22"/>
        </w:rPr>
        <w:t>Established the baseline for Q2 expectations; the leverage disclosure was the primary negative that weighed on the stock post-earnings.</w:t>
      </w:r>
    </w:p>
    <w:p>
      <w:pPr>
        <w:pStyle w:val="ListBullet"/>
        <w:ind w:left="360" w:hanging="360"/>
      </w:pPr>
      <w:r>
        <w:rPr>
          <w:rFonts w:ascii="Calibri" w:hAnsi="Calibri"/>
          <w:b/>
          <w:color w:val="525866"/>
          <w:sz w:val="22"/>
        </w:rPr>
        <w:t>Ongoing — Woodside LNG Partnership: Line 200 Ownership Transferred to WMB</w:t>
      </w:r>
      <w:r>
        <w:rPr>
          <w:rFonts w:ascii="Calibri" w:hAnsi="Calibri"/>
          <w:color w:val="525866"/>
          <w:sz w:val="22"/>
        </w:rPr>
        <w:t xml:space="preserve">. WMB disclosed on the Q1 call that it has taken over as primary owner of Line 200, connecting Transco and LEG to the Woodside LNG terminal. Woodside remains on track for 2029 first cargo. WMB holds 1.5 MTPA with an option (not obligation) to retain. </w:t>
      </w:r>
      <w:r>
        <w:rPr>
          <w:rFonts w:ascii="Calibri" w:hAnsi="Calibri"/>
          <w:b/>
          <w:color w:val="525866"/>
          <w:sz w:val="22"/>
        </w:rPr>
        <w:t xml:space="preserve">Implication: </w:t>
      </w:r>
      <w:r>
        <w:rPr>
          <w:rFonts w:ascii="Calibri" w:hAnsi="Calibri"/>
          <w:color w:val="525866"/>
          <w:sz w:val="22"/>
        </w:rPr>
        <w:t>Deepens WMB's wellhead-to-water integration; incremental contracted cash flow visibility for 2029+.</w:t>
      </w:r>
    </w:p>
    <w:p>
      <w:pPr>
        <w:pStyle w:val="ListBullet"/>
        <w:ind w:left="360" w:hanging="360"/>
      </w:pPr>
      <w:r>
        <w:rPr>
          <w:rFonts w:ascii="Calibri" w:hAnsi="Calibri"/>
          <w:b/>
          <w:color w:val="525866"/>
          <w:sz w:val="22"/>
        </w:rPr>
        <w:t>Ongoing — Socrates Power Innovation Project: Commissioning Underway</w:t>
      </w:r>
      <w:r>
        <w:rPr>
          <w:rFonts w:ascii="Calibri" w:hAnsi="Calibri"/>
          <w:color w:val="525866"/>
          <w:sz w:val="22"/>
        </w:rPr>
        <w:t xml:space="preserve">. Turbines fully on foundation and commissioning underway as of Q1 2026 call. Partial startup expected in Q3 2026. </w:t>
      </w:r>
      <w:r>
        <w:rPr>
          <w:rFonts w:ascii="Calibri" w:hAnsi="Calibri"/>
          <w:b/>
          <w:color w:val="525866"/>
          <w:sz w:val="22"/>
        </w:rPr>
        <w:t xml:space="preserve">Implication: </w:t>
      </w:r>
      <w:r>
        <w:rPr>
          <w:rFonts w:ascii="Calibri" w:hAnsi="Calibri"/>
          <w:color w:val="525866"/>
          <w:sz w:val="22"/>
        </w:rPr>
        <w:t>First Power Innovation revenue contribution expected in Q3 2026; any update on commissioning progress will be closely watched on the Q2 call.</w:t>
      </w:r>
    </w:p>
    <w:p>
      <w:pPr>
        <w:pStyle w:val="ListBullet"/>
        <w:ind w:left="360" w:hanging="360"/>
      </w:pPr>
      <w:r>
        <w:rPr>
          <w:rFonts w:ascii="Calibri" w:hAnsi="Calibri"/>
          <w:b/>
          <w:color w:val="525866"/>
          <w:sz w:val="22"/>
        </w:rPr>
        <w:t>Ongoing — NESE and SESE: Under Construction</w:t>
      </w:r>
      <w:r>
        <w:rPr>
          <w:rFonts w:ascii="Calibri" w:hAnsi="Calibri"/>
          <w:color w:val="525866"/>
          <w:sz w:val="22"/>
        </w:rPr>
        <w:t xml:space="preserve">. Northeast Supply Enhancement (NESE) and Southeast Supply Enhancement (SESE) have entered construction phase. </w:t>
      </w:r>
      <w:r>
        <w:rPr>
          <w:rFonts w:ascii="Calibri" w:hAnsi="Calibri"/>
          <w:b/>
          <w:color w:val="525866"/>
          <w:sz w:val="22"/>
        </w:rPr>
        <w:t xml:space="preserve">Implication: </w:t>
      </w:r>
      <w:r>
        <w:rPr>
          <w:rFonts w:ascii="Calibri" w:hAnsi="Calibri"/>
          <w:color w:val="525866"/>
          <w:sz w:val="22"/>
        </w:rPr>
        <w:t>Execution risk is now construction risk rather than permitting risk; on-time delivery is critical to the 2026–2028 EBITDA ramp.</w:t>
      </w:r>
    </w:p>
    <w:sectPr w:rsidR="00FC693F" w:rsidRPr="0006063C" w:rsidSect="00034616">
      <w:headerReference w:type="default" r:id="rId10"/>
      <w:footerReference w:type="default" r:id="rId1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