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Williams Companies (WMB) — Q2 2026 Earnings Preview</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rFonts w:ascii="Calibri" w:hAnsi="Calibri"/>
                <w:b/>
                <w:sz w:val="22"/>
              </w:rPr>
              <w:t>Prepared</w:t>
            </w:r>
          </w:p>
        </w:tc>
        <w:tc>
          <w:tcPr>
            <w:tcW w:type="dxa" w:w="1440"/>
          </w:tcPr>
          <w:p>
            <w:r>
              <w:rPr>
                <w:rFonts w:ascii="Calibri" w:hAnsi="Calibri"/>
                <w:sz w:val="22"/>
              </w:rPr>
              <w:t>August 2, 2026</w:t>
            </w:r>
          </w:p>
        </w:tc>
        <w:tc>
          <w:tcPr>
            <w:tcW w:type="dxa" w:w="1440"/>
          </w:tcPr>
          <w:p>
            <w:r>
              <w:rPr>
                <w:rFonts w:ascii="Calibri" w:hAnsi="Calibri"/>
                <w:b/>
                <w:sz w:val="22"/>
              </w:rPr>
              <w:t>Earnings Release</w:t>
            </w:r>
          </w:p>
        </w:tc>
        <w:tc>
          <w:tcPr>
            <w:tcW w:type="dxa" w:w="1440"/>
          </w:tcPr>
          <w:p>
            <w:r>
              <w:rPr>
                <w:rFonts w:ascii="Calibri" w:hAnsi="Calibri"/>
                <w:sz w:val="22"/>
              </w:rPr>
              <w:t>August 3, 2026 (after market close)</w:t>
            </w:r>
          </w:p>
        </w:tc>
        <w:tc>
          <w:tcPr>
            <w:tcW w:type="dxa" w:w="1440"/>
          </w:tcPr>
          <w:p>
            <w:r>
              <w:rPr>
                <w:rFonts w:ascii="Calibri" w:hAnsi="Calibri"/>
                <w:b/>
                <w:sz w:val="22"/>
              </w:rPr>
              <w:t>Conference Call</w:t>
            </w:r>
          </w:p>
        </w:tc>
        <w:tc>
          <w:tcPr>
            <w:tcW w:type="dxa" w:w="1440"/>
          </w:tcPr>
          <w:p>
            <w:r>
              <w:rPr>
                <w:rFonts w:ascii="Calibri" w:hAnsi="Calibri"/>
                <w:sz w:val="22"/>
              </w:rPr>
              <w:t>August 4, 2026 — 9:30 AM ET</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Setup is constructive but not a slam-dunk beat — the bar on Adjusted EBITDA is achievable given management's upper-half guidance reaffirmation, but the biggest swing factor is whether the July 13 Blackstone JV financing announcement (which resolved the leverage overhang) unlocks a re-rating or is already priced in.</w:t>
      </w:r>
    </w:p>
    <w:p>
      <w:r>
        <w:rPr>
          <w:rFonts w:ascii="Calibri" w:hAnsi="Calibri"/>
          <w:color w:val="525866"/>
          <w:sz w:val="22"/>
        </w:rPr>
        <w:t>Heading into Q2 2026, the setup for WMB is broadly positive but nuanced. Consensus Adjusted EBITDA of ~$1.94B sits modestly below the Q1 2026 record of $2.254B, consistent with management's own guidance that Q2 is seasonally the weakest quarter before sequential growth resumes in H2 — so the bar is not demanding. Management reaffirmed full-year guidance at the upper half of the $8.05–$8.35B range as recently as the July 13 JV announcement, signaling confidence in the trajectory. Estimate revisions have drifted slightly lower since Q1 earnings (Adj. EPS consensus slipped from ~$0.637 to ~$0.504), reflecting the seasonal step-down rather than any fundamental deterioration, and the gap between consensus and guidance implies modest cushion. The stock has underperformed both AMLP and the S&amp;P 500 since the Q1 print (down ~5% vs. flat-to-up peers), suggesting the market has not yet fully rewarded the Power Innovation story — a dynamic that could reverse if management delivers on Socrates partial startup commentary and provides incremental project color. The key wildcard is the Blackstone JV structure: with $5.34B of committed capital now secured at a 49% noncontrolling interest in five Power Innovation projects, leverage is expected to return to the 3.5–4.0x target range, removing the single biggest bear concern — but investors will scrutinize whether the JV economics (49% share of cash flows to Blackstone) dilute the long-term EBITDA contribution enough to temper the bull case.</w:t>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Consensus sets a low seasonal bar on Adjusted EBITDA (~$1.94B vs. $2.254B in Q1), consistent with management's own Q2 seasonality guidance; the bigger swing factor is Adjusted EPS, where the beat/miss pattern has been consistently positive and the Q1 outperformance (+$0.093 vs. consensus) was the largest in recent history.</w:t>
      </w:r>
    </w:p>
    <w:p>
      <w:pPr>
        <w:pStyle w:val="Heading3"/>
      </w:pPr>
      <w:r>
        <w:rPr>
          <w:rFonts w:ascii="Calibri" w:hAnsi="Calibri"/>
          <w:b/>
          <w:color w:val="3B4259"/>
          <w:sz w:val="24"/>
        </w:rPr>
        <w:t>Table 1 — Current Quarter Snapshot (2Q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1Q 2026 Actual (Last Qtr)</w:t>
            </w:r>
          </w:p>
        </w:tc>
        <w:tc>
          <w:tcPr>
            <w:tcW w:type="dxa" w:w="1234"/>
            <w:shd w:val="clear" w:color="auto" w:fill="3B4259"/>
          </w:tcPr>
          <w:p>
            <w:r>
              <w:rPr>
                <w:rFonts w:ascii="Calibri" w:hAnsi="Calibri"/>
                <w:b/>
                <w:color w:val="FFFFFF"/>
                <w:sz w:val="22"/>
              </w:rPr>
              <w:t>2Q 2025 Actual (Prior Year)</w:t>
            </w:r>
          </w:p>
        </w:tc>
        <w:tc>
          <w:tcPr>
            <w:tcW w:type="dxa" w:w="1234"/>
            <w:shd w:val="clear" w:color="auto" w:fill="3B4259"/>
          </w:tcPr>
          <w:p>
            <w:r>
              <w:rPr>
                <w:rFonts w:ascii="Calibri" w:hAnsi="Calibri"/>
                <w:b/>
                <w:color w:val="FFFFFF"/>
                <w:sz w:val="22"/>
              </w:rPr>
              <w:t>2Q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FY 2026 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Adjusted EBITDA ($B)</w:t>
            </w:r>
          </w:p>
        </w:tc>
        <w:tc>
          <w:tcPr>
            <w:tcW w:type="dxa" w:w="1234"/>
          </w:tcPr>
          <w:p>
            <w:r>
              <w:rPr>
                <w:rFonts w:ascii="Calibri" w:hAnsi="Calibri"/>
                <w:sz w:val="22"/>
              </w:rPr>
              <w:t>$2.254B</w:t>
            </w:r>
          </w:p>
        </w:tc>
        <w:tc>
          <w:tcPr>
            <w:tcW w:type="dxa" w:w="1234"/>
          </w:tcPr>
          <w:p>
            <w:r>
              <w:rPr>
                <w:rFonts w:ascii="Calibri" w:hAnsi="Calibri"/>
                <w:sz w:val="22"/>
              </w:rPr>
              <w:t>$1.808B</w:t>
            </w:r>
          </w:p>
        </w:tc>
        <w:tc>
          <w:tcPr>
            <w:tcW w:type="dxa" w:w="1234"/>
          </w:tcPr>
          <w:p>
            <w:r>
              <w:rPr>
                <w:rFonts w:ascii="Calibri" w:hAnsi="Calibri"/>
                <w:sz w:val="22"/>
              </w:rPr>
              <w:t>$1.940B</w:t>
            </w:r>
          </w:p>
        </w:tc>
        <w:tc>
          <w:tcPr>
            <w:tcW w:type="dxa" w:w="1234"/>
          </w:tcPr>
          <w:p>
            <w:r>
              <w:rPr>
                <w:rFonts w:ascii="Calibri" w:hAnsi="Calibri"/>
                <w:sz w:val="22"/>
              </w:rPr>
              <w:t>+7.3% YoY</w:t>
            </w:r>
          </w:p>
        </w:tc>
        <w:tc>
          <w:tcPr>
            <w:tcW w:type="dxa" w:w="1234"/>
          </w:tcPr>
          <w:p>
            <w:r>
              <w:rPr>
                <w:rFonts w:ascii="Calibri" w:hAnsi="Calibri"/>
                <w:sz w:val="22"/>
              </w:rPr>
              <w:t>Upper half of $8.05–$8.35B range</w:t>
            </w:r>
          </w:p>
        </w:tc>
        <w:tc>
          <w:tcPr>
            <w:tcW w:type="dxa" w:w="1234"/>
          </w:tcPr>
          <w:p>
            <w:r>
              <w:rPr>
                <w:rFonts w:ascii="Calibri" w:hAnsi="Calibri"/>
                <w:sz w:val="22"/>
              </w:rPr>
              <w:t>~$1.94B × 4 = ~$7.76B; below upper-half midpoint (~$8.28B); implies H2 acceleration required</w:t>
            </w:r>
          </w:p>
        </w:tc>
      </w:tr>
      <w:tr>
        <w:tc>
          <w:tcPr>
            <w:tcW w:type="dxa" w:w="1234"/>
          </w:tcPr>
          <w:p>
            <w:r>
              <w:rPr>
                <w:rFonts w:ascii="Calibri" w:hAnsi="Calibri"/>
                <w:sz w:val="22"/>
              </w:rPr>
              <w:t>Adj. EPS — Diluted Operating ($/sh)</w:t>
            </w:r>
          </w:p>
        </w:tc>
        <w:tc>
          <w:tcPr>
            <w:tcW w:type="dxa" w:w="1234"/>
          </w:tcPr>
          <w:p>
            <w:r>
              <w:rPr>
                <w:rFonts w:ascii="Calibri" w:hAnsi="Calibri"/>
                <w:sz w:val="22"/>
              </w:rPr>
              <w:t>$0.73</w:t>
            </w:r>
          </w:p>
        </w:tc>
        <w:tc>
          <w:tcPr>
            <w:tcW w:type="dxa" w:w="1234"/>
          </w:tcPr>
          <w:p>
            <w:r>
              <w:rPr>
                <w:rFonts w:ascii="Calibri" w:hAnsi="Calibri"/>
                <w:sz w:val="22"/>
              </w:rPr>
              <w:t>$0.46</w:t>
            </w:r>
          </w:p>
        </w:tc>
        <w:tc>
          <w:tcPr>
            <w:tcW w:type="dxa" w:w="1234"/>
          </w:tcPr>
          <w:p>
            <w:r>
              <w:rPr>
                <w:rFonts w:ascii="Calibri" w:hAnsi="Calibri"/>
                <w:sz w:val="22"/>
              </w:rPr>
              <w:t>$0.504</w:t>
            </w:r>
          </w:p>
        </w:tc>
        <w:tc>
          <w:tcPr>
            <w:tcW w:type="dxa" w:w="1234"/>
          </w:tcPr>
          <w:p>
            <w:r>
              <w:rPr>
                <w:rFonts w:ascii="Calibri" w:hAnsi="Calibri"/>
                <w:sz w:val="22"/>
              </w:rPr>
              <w:t>+9.6% YoY</w:t>
            </w:r>
          </w:p>
        </w:tc>
        <w:tc>
          <w:tcPr>
            <w:tcW w:type="dxa" w:w="1234"/>
          </w:tcPr>
          <w:p>
            <w:r>
              <w:rPr>
                <w:rFonts w:ascii="Calibri" w:hAnsi="Calibri"/>
                <w:sz w:val="22"/>
              </w:rPr>
              <w:t>$2.20–$2.38 (unchanged per July 13 update)</w:t>
            </w:r>
          </w:p>
        </w:tc>
        <w:tc>
          <w:tcPr>
            <w:tcW w:type="dxa" w:w="1234"/>
          </w:tcPr>
          <w:p>
            <w:r>
              <w:rPr>
                <w:rFonts w:ascii="Calibri" w:hAnsi="Calibri"/>
                <w:sz w:val="22"/>
              </w:rPr>
              <w:t>~$0.504 × 4 = ~$2.02; below guidance midpoint of $2.29; implies H2 step-up</w:t>
            </w:r>
          </w:p>
        </w:tc>
      </w:tr>
      <w:tr>
        <w:tc>
          <w:tcPr>
            <w:tcW w:type="dxa" w:w="1234"/>
          </w:tcPr>
          <w:p>
            <w:r>
              <w:rPr>
                <w:rFonts w:ascii="Calibri" w:hAnsi="Calibri"/>
                <w:sz w:val="22"/>
              </w:rPr>
              <w:t>Available Funds from Operations ($B)</w:t>
            </w:r>
          </w:p>
        </w:tc>
        <w:tc>
          <w:tcPr>
            <w:tcW w:type="dxa" w:w="1234"/>
          </w:tcPr>
          <w:p>
            <w:r>
              <w:rPr>
                <w:rFonts w:ascii="Calibri" w:hAnsi="Calibri"/>
                <w:sz w:val="22"/>
              </w:rPr>
              <w:t>$1.770B</w:t>
            </w:r>
          </w:p>
        </w:tc>
        <w:tc>
          <w:tcPr>
            <w:tcW w:type="dxa" w:w="1234"/>
          </w:tcPr>
          <w:p>
            <w:r>
              <w:rPr>
                <w:rFonts w:ascii="Calibri" w:hAnsi="Calibri"/>
                <w:sz w:val="22"/>
              </w:rPr>
              <w:t>$1.317B</w:t>
            </w:r>
          </w:p>
        </w:tc>
        <w:tc>
          <w:tcPr>
            <w:tcW w:type="dxa" w:w="1234"/>
          </w:tcPr>
          <w:p>
            <w:r>
              <w:rPr>
                <w:rFonts w:ascii="Calibri" w:hAnsi="Calibri"/>
                <w:sz w:val="22"/>
              </w:rPr>
              <w:t>$1.450B</w:t>
            </w:r>
          </w:p>
        </w:tc>
        <w:tc>
          <w:tcPr>
            <w:tcW w:type="dxa" w:w="1234"/>
          </w:tcPr>
          <w:p>
            <w:r>
              <w:rPr>
                <w:rFonts w:ascii="Calibri" w:hAnsi="Calibri"/>
                <w:sz w:val="22"/>
              </w:rPr>
              <w:t>+10.1% YoY</w:t>
            </w:r>
          </w:p>
        </w:tc>
        <w:tc>
          <w:tcPr>
            <w:tcW w:type="dxa" w:w="1234"/>
          </w:tcPr>
          <w:p>
            <w:r>
              <w:rPr>
                <w:rFonts w:ascii="Calibri" w:hAnsi="Calibri"/>
                <w:sz w:val="22"/>
              </w:rPr>
              <w:t>N/A — not explicitly guided</w:t>
            </w:r>
          </w:p>
        </w:tc>
        <w:tc>
          <w:tcPr>
            <w:tcW w:type="dxa" w:w="1234"/>
          </w:tcPr>
          <w:p>
            <w:r>
              <w:rPr>
                <w:rFonts w:ascii="Calibri" w:hAnsi="Calibri"/>
                <w:sz w:val="22"/>
              </w:rPr>
              <w:t>N/A</w:t>
            </w:r>
          </w:p>
        </w:tc>
      </w:tr>
      <w:tr>
        <w:tc>
          <w:tcPr>
            <w:tcW w:type="dxa" w:w="1234"/>
          </w:tcPr>
          <w:p>
            <w:r>
              <w:rPr>
                <w:rFonts w:ascii="Calibri" w:hAnsi="Calibri"/>
                <w:sz w:val="22"/>
              </w:rPr>
              <w:t>Capital Expenditures ($B)</w:t>
            </w:r>
          </w:p>
        </w:tc>
        <w:tc>
          <w:tcPr>
            <w:tcW w:type="dxa" w:w="1234"/>
          </w:tcPr>
          <w:p>
            <w:r>
              <w:rPr>
                <w:rFonts w:ascii="Calibri" w:hAnsi="Calibri"/>
                <w:sz w:val="22"/>
              </w:rPr>
              <w:t>$1.359B</w:t>
            </w:r>
          </w:p>
        </w:tc>
        <w:tc>
          <w:tcPr>
            <w:tcW w:type="dxa" w:w="1234"/>
          </w:tcPr>
          <w:p>
            <w:r>
              <w:rPr>
                <w:rFonts w:ascii="Calibri" w:hAnsi="Calibri"/>
                <w:sz w:val="22"/>
              </w:rPr>
              <w:t>$0.972B</w:t>
            </w:r>
          </w:p>
        </w:tc>
        <w:tc>
          <w:tcPr>
            <w:tcW w:type="dxa" w:w="1234"/>
          </w:tcPr>
          <w:p>
            <w:r>
              <w:rPr>
                <w:rFonts w:ascii="Calibri" w:hAnsi="Calibri"/>
                <w:sz w:val="22"/>
              </w:rPr>
              <w:t>$2.229B</w:t>
            </w:r>
          </w:p>
        </w:tc>
        <w:tc>
          <w:tcPr>
            <w:tcW w:type="dxa" w:w="1234"/>
          </w:tcPr>
          <w:p>
            <w:r>
              <w:rPr>
                <w:rFonts w:ascii="Calibri" w:hAnsi="Calibri"/>
                <w:sz w:val="22"/>
              </w:rPr>
              <w:t>+129% YoY</w:t>
            </w:r>
          </w:p>
        </w:tc>
        <w:tc>
          <w:tcPr>
            <w:tcW w:type="dxa" w:w="1234"/>
          </w:tcPr>
          <w:p>
            <w:r>
              <w:rPr>
                <w:rFonts w:ascii="Calibri" w:hAnsi="Calibri"/>
                <w:sz w:val="22"/>
              </w:rPr>
              <w:t>$7.0–$7.6B growth + $0.85–$0.95B maintenance (FY)</w:t>
            </w:r>
          </w:p>
        </w:tc>
        <w:tc>
          <w:tcPr>
            <w:tcW w:type="dxa" w:w="1234"/>
          </w:tcPr>
          <w:p>
            <w:r>
              <w:rPr>
                <w:rFonts w:ascii="Calibri" w:hAnsi="Calibri"/>
                <w:sz w:val="22"/>
              </w:rPr>
              <w:t>FY consensus ~$8.22B vs. guidance midpoint ~$8.20B; essentially in line</w:t>
            </w:r>
          </w:p>
        </w:tc>
      </w:tr>
      <w:tr>
        <w:tc>
          <w:tcPr>
            <w:tcW w:type="dxa" w:w="1234"/>
          </w:tcPr>
          <w:p>
            <w:r>
              <w:rPr>
                <w:rFonts w:ascii="Calibri" w:hAnsi="Calibri"/>
                <w:sz w:val="22"/>
              </w:rPr>
              <w:t>Transco Throughput — Pipeline Natural Gas (Bbtu/d)</w:t>
            </w:r>
          </w:p>
        </w:tc>
        <w:tc>
          <w:tcPr>
            <w:tcW w:type="dxa" w:w="1234"/>
          </w:tcPr>
          <w:p>
            <w:r>
              <w:rPr>
                <w:rFonts w:ascii="Calibri" w:hAnsi="Calibri"/>
                <w:sz w:val="22"/>
              </w:rPr>
              <w:t>16,000 Bbtu/d</w:t>
            </w:r>
          </w:p>
        </w:tc>
        <w:tc>
          <w:tcPr>
            <w:tcW w:type="dxa" w:w="1234"/>
          </w:tcPr>
          <w:p>
            <w:r>
              <w:rPr>
                <w:rFonts w:ascii="Calibri" w:hAnsi="Calibri"/>
                <w:sz w:val="22"/>
              </w:rPr>
              <w:t>14,000 Bbtu/d</w:t>
            </w:r>
          </w:p>
        </w:tc>
        <w:tc>
          <w:tcPr>
            <w:tcW w:type="dxa" w:w="1234"/>
          </w:tcPr>
          <w:p>
            <w:r>
              <w:rPr>
                <w:rFonts w:ascii="Calibri" w:hAnsi="Calibri"/>
                <w:sz w:val="22"/>
              </w:rPr>
              <w:t>14,060 Bbtu/d</w:t>
            </w:r>
          </w:p>
        </w:tc>
        <w:tc>
          <w:tcPr>
            <w:tcW w:type="dxa" w:w="1234"/>
          </w:tcPr>
          <w:p>
            <w:r>
              <w:rPr>
                <w:rFonts w:ascii="Calibri" w:hAnsi="Calibri"/>
                <w:sz w:val="22"/>
              </w:rPr>
              <w:t>+0.4% YoY</w:t>
            </w:r>
          </w:p>
        </w:tc>
        <w:tc>
          <w:tcPr>
            <w:tcW w:type="dxa" w:w="1234"/>
          </w:tcPr>
          <w:p>
            <w:r>
              <w:rPr>
                <w:rFonts w:ascii="Calibri" w:hAnsi="Calibri"/>
                <w:sz w:val="22"/>
              </w:rPr>
              <w:t>N/A — not explicitly guided</w:t>
            </w:r>
          </w:p>
        </w:tc>
        <w:tc>
          <w:tcPr>
            <w:tcW w:type="dxa" w:w="1234"/>
          </w:tcPr>
          <w:p>
            <w:r>
              <w:rPr>
                <w:rFonts w:ascii="Calibri" w:hAnsi="Calibri"/>
                <w:sz w:val="22"/>
              </w:rPr>
              <w:t>N/A</w:t>
            </w:r>
          </w:p>
        </w:tc>
      </w:tr>
    </w:tbl>
    <w:p>
      <w:r>
        <w:rPr>
          <w:rFonts w:ascii="Calibri" w:hAnsi="Calibri"/>
          <w:i/>
          <w:color w:val="525866"/>
          <w:sz w:val="22"/>
        </w:rPr>
        <w:t>Sources: Visible Alpha Consensus and Actuals Data; Williams Companies Q1 2026 Earnings Release &amp; July 13, 2026 8-K/Press Release.</w:t>
      </w:r>
    </w:p>
    <w:p>
      <w:pPr>
        <w:pStyle w:val="Heading3"/>
      </w:pPr>
      <w:r>
        <w:rPr>
          <w:rFonts w:ascii="Calibri" w:hAnsi="Calibri"/>
          <w:b/>
          <w:color w:val="3B4259"/>
          <w:sz w:val="24"/>
        </w:rPr>
        <w:t>Table 2 — Beat/Miss History (Last 8 Quarters, Top 2 KPIs)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Quarter</w:t>
            </w:r>
          </w:p>
        </w:tc>
        <w:tc>
          <w:tcPr>
            <w:tcW w:type="dxa" w:w="1440"/>
            <w:shd w:val="clear" w:color="auto" w:fill="3B4259"/>
          </w:tcPr>
          <w:p>
            <w:r>
              <w:rPr>
                <w:rFonts w:ascii="Calibri" w:hAnsi="Calibri"/>
                <w:b/>
                <w:color w:val="FFFFFF"/>
                <w:sz w:val="22"/>
              </w:rPr>
              <w:t>KPI</w:t>
            </w:r>
          </w:p>
        </w:tc>
        <w:tc>
          <w:tcPr>
            <w:tcW w:type="dxa" w:w="1440"/>
            <w:shd w:val="clear" w:color="auto" w:fill="3B4259"/>
          </w:tcPr>
          <w:p>
            <w:r>
              <w:rPr>
                <w:rFonts w:ascii="Calibri" w:hAnsi="Calibri"/>
                <w:b/>
                <w:color w:val="FFFFFF"/>
                <w:sz w:val="22"/>
              </w:rPr>
              <w:t>Reported</w:t>
            </w:r>
          </w:p>
        </w:tc>
        <w:tc>
          <w:tcPr>
            <w:tcW w:type="dxa" w:w="1440"/>
            <w:shd w:val="clear" w:color="auto" w:fill="3B4259"/>
          </w:tcPr>
          <w:p>
            <w:r>
              <w:rPr>
                <w:rFonts w:ascii="Calibri" w:hAnsi="Calibri"/>
                <w:b/>
                <w:color w:val="FFFFFF"/>
                <w:sz w:val="22"/>
              </w:rPr>
              <w:t>Consensus</w:t>
            </w:r>
          </w:p>
        </w:tc>
        <w:tc>
          <w:tcPr>
            <w:tcW w:type="dxa" w:w="1440"/>
            <w:shd w:val="clear" w:color="auto" w:fill="3B4259"/>
          </w:tcPr>
          <w:p>
            <w:r>
              <w:rPr>
                <w:rFonts w:ascii="Calibri" w:hAnsi="Calibri"/>
                <w:b/>
                <w:color w:val="FFFFFF"/>
                <w:sz w:val="22"/>
              </w:rPr>
              <w:t>Surprise %</w:t>
            </w:r>
          </w:p>
        </w:tc>
        <w:tc>
          <w:tcPr>
            <w:tcW w:type="dxa" w:w="1440"/>
            <w:shd w:val="clear" w:color="auto" w:fill="3B4259"/>
          </w:tcPr>
          <w:p>
            <w:r>
              <w:rPr>
                <w:rFonts w:ascii="Calibri" w:hAnsi="Calibri"/>
                <w:b/>
                <w:color w:val="FFFFFF"/>
                <w:sz w:val="22"/>
              </w:rPr>
              <w:t>Result</w:t>
            </w:r>
          </w:p>
        </w:tc>
      </w:tr>
      <w:tr>
        <w:tc>
          <w:tcPr>
            <w:tcW w:type="dxa" w:w="1440"/>
          </w:tcPr>
          <w:p>
            <w:r>
              <w:rPr>
                <w:rFonts w:ascii="Calibri" w:hAnsi="Calibri"/>
                <w:sz w:val="22"/>
              </w:rPr>
              <w:t>1Q 2026</w:t>
            </w:r>
          </w:p>
        </w:tc>
        <w:tc>
          <w:tcPr>
            <w:tcW w:type="dxa" w:w="1440"/>
          </w:tcPr>
          <w:p>
            <w:r>
              <w:rPr>
                <w:rFonts w:ascii="Calibri" w:hAnsi="Calibri"/>
                <w:sz w:val="22"/>
              </w:rPr>
              <w:t>Adj. EBITDA</w:t>
            </w:r>
          </w:p>
        </w:tc>
        <w:tc>
          <w:tcPr>
            <w:tcW w:type="dxa" w:w="1440"/>
          </w:tcPr>
          <w:p>
            <w:r>
              <w:rPr>
                <w:rFonts w:ascii="Calibri" w:hAnsi="Calibri"/>
                <w:sz w:val="22"/>
              </w:rPr>
              <w:t>$2.254B</w:t>
            </w:r>
          </w:p>
        </w:tc>
        <w:tc>
          <w:tcPr>
            <w:tcW w:type="dxa" w:w="1440"/>
          </w:tcPr>
          <w:p>
            <w:r>
              <w:rPr>
                <w:rFonts w:ascii="Calibri" w:hAnsi="Calibri"/>
                <w:sz w:val="22"/>
              </w:rPr>
              <w:t>$2.131B</w:t>
            </w:r>
          </w:p>
        </w:tc>
        <w:tc>
          <w:tcPr>
            <w:tcW w:type="dxa" w:w="1440"/>
          </w:tcPr>
          <w:p>
            <w:r>
              <w:rPr>
                <w:rFonts w:ascii="Calibri" w:hAnsi="Calibri"/>
                <w:b/>
                <w:color w:val="30A46C"/>
                <w:sz w:val="22"/>
              </w:rPr>
              <w:t>+5.8%</w:t>
            </w:r>
          </w:p>
        </w:tc>
        <w:tc>
          <w:tcPr>
            <w:tcW w:type="dxa" w:w="1440"/>
          </w:tcPr>
          <w:p>
            <w:r>
              <w:rPr>
                <w:rFonts w:ascii="Calibri" w:hAnsi="Calibri"/>
                <w:sz w:val="22"/>
              </w:rPr>
              <w:t>Beat</w:t>
            </w:r>
          </w:p>
        </w:tc>
      </w:tr>
      <w:tr>
        <w:tc>
          <w:tcPr>
            <w:tcW w:type="dxa" w:w="1440"/>
          </w:tcPr>
          <w:p>
            <w:r>
              <w:rPr>
                <w:rFonts w:ascii="Calibri" w:hAnsi="Calibri"/>
                <w:sz w:val="22"/>
              </w:rPr>
              <w:t>1Q 2026</w:t>
            </w:r>
          </w:p>
        </w:tc>
        <w:tc>
          <w:tcPr>
            <w:tcW w:type="dxa" w:w="1440"/>
          </w:tcPr>
          <w:p>
            <w:r>
              <w:rPr>
                <w:rFonts w:ascii="Calibri" w:hAnsi="Calibri"/>
                <w:sz w:val="22"/>
              </w:rPr>
              <w:t>Adj. EPS</w:t>
            </w:r>
          </w:p>
        </w:tc>
        <w:tc>
          <w:tcPr>
            <w:tcW w:type="dxa" w:w="1440"/>
          </w:tcPr>
          <w:p>
            <w:r>
              <w:rPr>
                <w:rFonts w:ascii="Calibri" w:hAnsi="Calibri"/>
                <w:sz w:val="22"/>
              </w:rPr>
              <w:t>$0.73</w:t>
            </w:r>
          </w:p>
        </w:tc>
        <w:tc>
          <w:tcPr>
            <w:tcW w:type="dxa" w:w="1440"/>
          </w:tcPr>
          <w:p>
            <w:r>
              <w:rPr>
                <w:rFonts w:ascii="Calibri" w:hAnsi="Calibri"/>
                <w:sz w:val="22"/>
              </w:rPr>
              <w:t>$0.637</w:t>
            </w:r>
          </w:p>
        </w:tc>
        <w:tc>
          <w:tcPr>
            <w:tcW w:type="dxa" w:w="1440"/>
          </w:tcPr>
          <w:p>
            <w:r>
              <w:rPr>
                <w:rFonts w:ascii="Calibri" w:hAnsi="Calibri"/>
                <w:b/>
                <w:color w:val="30A46C"/>
                <w:sz w:val="22"/>
              </w:rPr>
              <w:t>+14.6%</w:t>
            </w:r>
          </w:p>
        </w:tc>
        <w:tc>
          <w:tcPr>
            <w:tcW w:type="dxa" w:w="1440"/>
          </w:tcPr>
          <w:p>
            <w:r>
              <w:rPr>
                <w:rFonts w:ascii="Calibri" w:hAnsi="Calibri"/>
                <w:sz w:val="22"/>
              </w:rPr>
              <w:t>Beat</w:t>
            </w:r>
          </w:p>
        </w:tc>
      </w:tr>
      <w:tr>
        <w:tc>
          <w:tcPr>
            <w:tcW w:type="dxa" w:w="1440"/>
          </w:tcPr>
          <w:p>
            <w:r>
              <w:rPr>
                <w:rFonts w:ascii="Calibri" w:hAnsi="Calibri"/>
                <w:sz w:val="22"/>
              </w:rPr>
              <w:t>4Q 2025</w:t>
            </w:r>
          </w:p>
        </w:tc>
        <w:tc>
          <w:tcPr>
            <w:tcW w:type="dxa" w:w="1440"/>
          </w:tcPr>
          <w:p>
            <w:r>
              <w:rPr>
                <w:rFonts w:ascii="Calibri" w:hAnsi="Calibri"/>
                <w:sz w:val="22"/>
              </w:rPr>
              <w:t>Adj. EBITDA</w:t>
            </w:r>
          </w:p>
        </w:tc>
        <w:tc>
          <w:tcPr>
            <w:tcW w:type="dxa" w:w="1440"/>
          </w:tcPr>
          <w:p>
            <w:r>
              <w:rPr>
                <w:rFonts w:ascii="Calibri" w:hAnsi="Calibri"/>
                <w:sz w:val="22"/>
              </w:rPr>
              <w:t>$2.033B</w:t>
            </w:r>
          </w:p>
        </w:tc>
        <w:tc>
          <w:tcPr>
            <w:tcW w:type="dxa" w:w="1440"/>
          </w:tcPr>
          <w:p>
            <w:r>
              <w:rPr>
                <w:rFonts w:ascii="Calibri" w:hAnsi="Calibri"/>
                <w:sz w:val="22"/>
              </w:rPr>
              <w:t>$2.021B</w:t>
            </w:r>
          </w:p>
        </w:tc>
        <w:tc>
          <w:tcPr>
            <w:tcW w:type="dxa" w:w="1440"/>
          </w:tcPr>
          <w:p>
            <w:r>
              <w:rPr>
                <w:rFonts w:ascii="Calibri" w:hAnsi="Calibri"/>
                <w:b/>
                <w:color w:val="30A46C"/>
                <w:sz w:val="22"/>
              </w:rPr>
              <w:t>+0.6%</w:t>
            </w:r>
          </w:p>
        </w:tc>
        <w:tc>
          <w:tcPr>
            <w:tcW w:type="dxa" w:w="1440"/>
          </w:tcPr>
          <w:p>
            <w:r>
              <w:rPr>
                <w:rFonts w:ascii="Calibri" w:hAnsi="Calibri"/>
                <w:sz w:val="22"/>
              </w:rPr>
              <w:t>Beat</w:t>
            </w:r>
          </w:p>
        </w:tc>
      </w:tr>
      <w:tr>
        <w:tc>
          <w:tcPr>
            <w:tcW w:type="dxa" w:w="1440"/>
          </w:tcPr>
          <w:p>
            <w:r>
              <w:rPr>
                <w:rFonts w:ascii="Calibri" w:hAnsi="Calibri"/>
                <w:sz w:val="22"/>
              </w:rPr>
              <w:t>4Q 2025</w:t>
            </w:r>
          </w:p>
        </w:tc>
        <w:tc>
          <w:tcPr>
            <w:tcW w:type="dxa" w:w="1440"/>
          </w:tcPr>
          <w:p>
            <w:r>
              <w:rPr>
                <w:rFonts w:ascii="Calibri" w:hAnsi="Calibri"/>
                <w:sz w:val="22"/>
              </w:rPr>
              <w:t>Adj. EPS</w:t>
            </w:r>
          </w:p>
        </w:tc>
        <w:tc>
          <w:tcPr>
            <w:tcW w:type="dxa" w:w="1440"/>
          </w:tcPr>
          <w:p>
            <w:r>
              <w:rPr>
                <w:rFonts w:ascii="Calibri" w:hAnsi="Calibri"/>
                <w:sz w:val="22"/>
              </w:rPr>
              <w:t>$0.55</w:t>
            </w:r>
          </w:p>
        </w:tc>
        <w:tc>
          <w:tcPr>
            <w:tcW w:type="dxa" w:w="1440"/>
          </w:tcPr>
          <w:p>
            <w:r>
              <w:rPr>
                <w:rFonts w:ascii="Calibri" w:hAnsi="Calibri"/>
                <w:sz w:val="22"/>
              </w:rPr>
              <w:t>$0.576</w:t>
            </w:r>
          </w:p>
        </w:tc>
        <w:tc>
          <w:tcPr>
            <w:tcW w:type="dxa" w:w="1440"/>
          </w:tcPr>
          <w:p>
            <w:r>
              <w:rPr>
                <w:rFonts w:ascii="Calibri" w:hAnsi="Calibri"/>
                <w:b/>
                <w:color w:val="E5484D"/>
                <w:sz w:val="22"/>
              </w:rPr>
              <w:t>−4.5%</w:t>
            </w:r>
          </w:p>
        </w:tc>
        <w:tc>
          <w:tcPr>
            <w:tcW w:type="dxa" w:w="1440"/>
          </w:tcPr>
          <w:p>
            <w:r>
              <w:rPr>
                <w:rFonts w:ascii="Calibri" w:hAnsi="Calibri"/>
                <w:sz w:val="22"/>
              </w:rPr>
              <w:t>Miss</w:t>
            </w:r>
          </w:p>
        </w:tc>
      </w:tr>
      <w:tr>
        <w:tc>
          <w:tcPr>
            <w:tcW w:type="dxa" w:w="1440"/>
          </w:tcPr>
          <w:p>
            <w:r>
              <w:rPr>
                <w:rFonts w:ascii="Calibri" w:hAnsi="Calibri"/>
                <w:sz w:val="22"/>
              </w:rPr>
              <w:t>3Q 2025</w:t>
            </w:r>
          </w:p>
        </w:tc>
        <w:tc>
          <w:tcPr>
            <w:tcW w:type="dxa" w:w="1440"/>
          </w:tcPr>
          <w:p>
            <w:r>
              <w:rPr>
                <w:rFonts w:ascii="Calibri" w:hAnsi="Calibri"/>
                <w:sz w:val="22"/>
              </w:rPr>
              <w:t>Adj. EBITDA</w:t>
            </w:r>
          </w:p>
        </w:tc>
        <w:tc>
          <w:tcPr>
            <w:tcW w:type="dxa" w:w="1440"/>
          </w:tcPr>
          <w:p>
            <w:r>
              <w:rPr>
                <w:rFonts w:ascii="Calibri" w:hAnsi="Calibri"/>
                <w:sz w:val="22"/>
              </w:rPr>
              <w:t>$1.920B</w:t>
            </w:r>
          </w:p>
        </w:tc>
        <w:tc>
          <w:tcPr>
            <w:tcW w:type="dxa" w:w="1440"/>
          </w:tcPr>
          <w:p>
            <w:r>
              <w:rPr>
                <w:rFonts w:ascii="Calibri" w:hAnsi="Calibri"/>
                <w:sz w:val="22"/>
              </w:rPr>
              <w:t>$1.920B</w:t>
            </w:r>
          </w:p>
        </w:tc>
        <w:tc>
          <w:tcPr>
            <w:tcW w:type="dxa" w:w="1440"/>
          </w:tcPr>
          <w:p>
            <w:r>
              <w:rPr>
                <w:rFonts w:ascii="Calibri" w:hAnsi="Calibri"/>
                <w:sz w:val="22"/>
              </w:rPr>
              <w:t>0.0%</w:t>
            </w:r>
          </w:p>
        </w:tc>
        <w:tc>
          <w:tcPr>
            <w:tcW w:type="dxa" w:w="1440"/>
          </w:tcPr>
          <w:p>
            <w:r>
              <w:rPr>
                <w:rFonts w:ascii="Calibri" w:hAnsi="Calibri"/>
                <w:sz w:val="22"/>
              </w:rPr>
              <w:t>In Line</w:t>
            </w:r>
          </w:p>
        </w:tc>
      </w:tr>
      <w:tr>
        <w:tc>
          <w:tcPr>
            <w:tcW w:type="dxa" w:w="1440"/>
          </w:tcPr>
          <w:p>
            <w:r>
              <w:rPr>
                <w:rFonts w:ascii="Calibri" w:hAnsi="Calibri"/>
                <w:sz w:val="22"/>
              </w:rPr>
              <w:t>3Q 2025</w:t>
            </w:r>
          </w:p>
        </w:tc>
        <w:tc>
          <w:tcPr>
            <w:tcW w:type="dxa" w:w="1440"/>
          </w:tcPr>
          <w:p>
            <w:r>
              <w:rPr>
                <w:rFonts w:ascii="Calibri" w:hAnsi="Calibri"/>
                <w:sz w:val="22"/>
              </w:rPr>
              <w:t>Adj. EPS</w:t>
            </w:r>
          </w:p>
        </w:tc>
        <w:tc>
          <w:tcPr>
            <w:tcW w:type="dxa" w:w="1440"/>
          </w:tcPr>
          <w:p>
            <w:r>
              <w:rPr>
                <w:rFonts w:ascii="Calibri" w:hAnsi="Calibri"/>
                <w:sz w:val="22"/>
              </w:rPr>
              <w:t>$0.492</w:t>
            </w:r>
          </w:p>
        </w:tc>
        <w:tc>
          <w:tcPr>
            <w:tcW w:type="dxa" w:w="1440"/>
          </w:tcPr>
          <w:p>
            <w:r>
              <w:rPr>
                <w:rFonts w:ascii="Calibri" w:hAnsi="Calibri"/>
                <w:sz w:val="22"/>
              </w:rPr>
              <w:t>$0.521</w:t>
            </w:r>
          </w:p>
        </w:tc>
        <w:tc>
          <w:tcPr>
            <w:tcW w:type="dxa" w:w="1440"/>
          </w:tcPr>
          <w:p>
            <w:r>
              <w:rPr>
                <w:rFonts w:ascii="Calibri" w:hAnsi="Calibri"/>
                <w:b/>
                <w:color w:val="E5484D"/>
                <w:sz w:val="22"/>
              </w:rPr>
              <w:t>−5.6%</w:t>
            </w:r>
          </w:p>
        </w:tc>
        <w:tc>
          <w:tcPr>
            <w:tcW w:type="dxa" w:w="1440"/>
          </w:tcPr>
          <w:p>
            <w:r>
              <w:rPr>
                <w:rFonts w:ascii="Calibri" w:hAnsi="Calibri"/>
                <w:sz w:val="22"/>
              </w:rPr>
              <w:t>Miss</w:t>
            </w:r>
          </w:p>
        </w:tc>
      </w:tr>
      <w:tr>
        <w:tc>
          <w:tcPr>
            <w:tcW w:type="dxa" w:w="1440"/>
          </w:tcPr>
          <w:p>
            <w:r>
              <w:rPr>
                <w:rFonts w:ascii="Calibri" w:hAnsi="Calibri"/>
                <w:sz w:val="22"/>
              </w:rPr>
              <w:t>2Q 2025</w:t>
            </w:r>
          </w:p>
        </w:tc>
        <w:tc>
          <w:tcPr>
            <w:tcW w:type="dxa" w:w="1440"/>
          </w:tcPr>
          <w:p>
            <w:r>
              <w:rPr>
                <w:rFonts w:ascii="Calibri" w:hAnsi="Calibri"/>
                <w:sz w:val="22"/>
              </w:rPr>
              <w:t>Adj. EBITDA</w:t>
            </w:r>
          </w:p>
        </w:tc>
        <w:tc>
          <w:tcPr>
            <w:tcW w:type="dxa" w:w="1440"/>
          </w:tcPr>
          <w:p>
            <w:r>
              <w:rPr>
                <w:rFonts w:ascii="Calibri" w:hAnsi="Calibri"/>
                <w:sz w:val="22"/>
              </w:rPr>
              <w:t>$1.808B</w:t>
            </w:r>
          </w:p>
        </w:tc>
        <w:tc>
          <w:tcPr>
            <w:tcW w:type="dxa" w:w="1440"/>
          </w:tcPr>
          <w:p>
            <w:r>
              <w:rPr>
                <w:rFonts w:ascii="Calibri" w:hAnsi="Calibri"/>
                <w:sz w:val="22"/>
              </w:rPr>
              <w:t>$1.817B</w:t>
            </w:r>
          </w:p>
        </w:tc>
        <w:tc>
          <w:tcPr>
            <w:tcW w:type="dxa" w:w="1440"/>
          </w:tcPr>
          <w:p>
            <w:r>
              <w:rPr>
                <w:rFonts w:ascii="Calibri" w:hAnsi="Calibri"/>
                <w:b/>
                <w:color w:val="E5484D"/>
                <w:sz w:val="22"/>
              </w:rPr>
              <w:t>−0.5%</w:t>
            </w:r>
          </w:p>
        </w:tc>
        <w:tc>
          <w:tcPr>
            <w:tcW w:type="dxa" w:w="1440"/>
          </w:tcPr>
          <w:p>
            <w:r>
              <w:rPr>
                <w:rFonts w:ascii="Calibri" w:hAnsi="Calibri"/>
                <w:sz w:val="22"/>
              </w:rPr>
              <w:t>Miss</w:t>
            </w:r>
          </w:p>
        </w:tc>
      </w:tr>
      <w:tr>
        <w:tc>
          <w:tcPr>
            <w:tcW w:type="dxa" w:w="1440"/>
          </w:tcPr>
          <w:p>
            <w:r>
              <w:rPr>
                <w:rFonts w:ascii="Calibri" w:hAnsi="Calibri"/>
                <w:sz w:val="22"/>
              </w:rPr>
              <w:t>2Q 2025</w:t>
            </w:r>
          </w:p>
        </w:tc>
        <w:tc>
          <w:tcPr>
            <w:tcW w:type="dxa" w:w="1440"/>
          </w:tcPr>
          <w:p>
            <w:r>
              <w:rPr>
                <w:rFonts w:ascii="Calibri" w:hAnsi="Calibri"/>
                <w:sz w:val="22"/>
              </w:rPr>
              <w:t>Adj. EPS</w:t>
            </w:r>
          </w:p>
        </w:tc>
        <w:tc>
          <w:tcPr>
            <w:tcW w:type="dxa" w:w="1440"/>
          </w:tcPr>
          <w:p>
            <w:r>
              <w:rPr>
                <w:rFonts w:ascii="Calibri" w:hAnsi="Calibri"/>
                <w:sz w:val="22"/>
              </w:rPr>
              <w:t>$0.46</w:t>
            </w:r>
          </w:p>
        </w:tc>
        <w:tc>
          <w:tcPr>
            <w:tcW w:type="dxa" w:w="1440"/>
          </w:tcPr>
          <w:p>
            <w:r>
              <w:rPr>
                <w:rFonts w:ascii="Calibri" w:hAnsi="Calibri"/>
                <w:sz w:val="22"/>
              </w:rPr>
              <w:t>$0.482</w:t>
            </w:r>
          </w:p>
        </w:tc>
        <w:tc>
          <w:tcPr>
            <w:tcW w:type="dxa" w:w="1440"/>
          </w:tcPr>
          <w:p>
            <w:r>
              <w:rPr>
                <w:rFonts w:ascii="Calibri" w:hAnsi="Calibri"/>
                <w:b/>
                <w:color w:val="E5484D"/>
                <w:sz w:val="22"/>
              </w:rPr>
              <w:t>−4.6%</w:t>
            </w:r>
          </w:p>
        </w:tc>
        <w:tc>
          <w:tcPr>
            <w:tcW w:type="dxa" w:w="1440"/>
          </w:tcPr>
          <w:p>
            <w:r>
              <w:rPr>
                <w:rFonts w:ascii="Calibri" w:hAnsi="Calibri"/>
                <w:sz w:val="22"/>
              </w:rPr>
              <w:t>Miss</w:t>
            </w:r>
          </w:p>
        </w:tc>
      </w:tr>
      <w:tr>
        <w:tc>
          <w:tcPr>
            <w:tcW w:type="dxa" w:w="1440"/>
          </w:tcPr>
          <w:p>
            <w:r>
              <w:rPr>
                <w:rFonts w:ascii="Calibri" w:hAnsi="Calibri"/>
                <w:sz w:val="22"/>
              </w:rPr>
              <w:t>1Q 2025</w:t>
            </w:r>
          </w:p>
        </w:tc>
        <w:tc>
          <w:tcPr>
            <w:tcW w:type="dxa" w:w="1440"/>
          </w:tcPr>
          <w:p>
            <w:r>
              <w:rPr>
                <w:rFonts w:ascii="Calibri" w:hAnsi="Calibri"/>
                <w:sz w:val="22"/>
              </w:rPr>
              <w:t>Adj. EBITDA</w:t>
            </w:r>
          </w:p>
        </w:tc>
        <w:tc>
          <w:tcPr>
            <w:tcW w:type="dxa" w:w="1440"/>
          </w:tcPr>
          <w:p>
            <w:r>
              <w:rPr>
                <w:rFonts w:ascii="Calibri" w:hAnsi="Calibri"/>
                <w:sz w:val="22"/>
              </w:rPr>
              <w:t>$1.989B</w:t>
            </w:r>
          </w:p>
        </w:tc>
        <w:tc>
          <w:tcPr>
            <w:tcW w:type="dxa" w:w="1440"/>
          </w:tcPr>
          <w:p>
            <w:r>
              <w:rPr>
                <w:rFonts w:ascii="Calibri" w:hAnsi="Calibri"/>
                <w:sz w:val="22"/>
              </w:rPr>
              <w:t>$1.939B</w:t>
            </w:r>
          </w:p>
        </w:tc>
        <w:tc>
          <w:tcPr>
            <w:tcW w:type="dxa" w:w="1440"/>
          </w:tcPr>
          <w:p>
            <w:r>
              <w:rPr>
                <w:rFonts w:ascii="Calibri" w:hAnsi="Calibri"/>
                <w:b/>
                <w:color w:val="30A46C"/>
                <w:sz w:val="22"/>
              </w:rPr>
              <w:t>+2.6%</w:t>
            </w:r>
          </w:p>
        </w:tc>
        <w:tc>
          <w:tcPr>
            <w:tcW w:type="dxa" w:w="1440"/>
          </w:tcPr>
          <w:p>
            <w:r>
              <w:rPr>
                <w:rFonts w:ascii="Calibri" w:hAnsi="Calibri"/>
                <w:sz w:val="22"/>
              </w:rPr>
              <w:t>Beat</w:t>
            </w:r>
          </w:p>
        </w:tc>
      </w:tr>
      <w:tr>
        <w:tc>
          <w:tcPr>
            <w:tcW w:type="dxa" w:w="1440"/>
          </w:tcPr>
          <w:p>
            <w:r>
              <w:rPr>
                <w:rFonts w:ascii="Calibri" w:hAnsi="Calibri"/>
                <w:sz w:val="22"/>
              </w:rPr>
              <w:t>1Q 2025</w:t>
            </w:r>
          </w:p>
        </w:tc>
        <w:tc>
          <w:tcPr>
            <w:tcW w:type="dxa" w:w="1440"/>
          </w:tcPr>
          <w:p>
            <w:r>
              <w:rPr>
                <w:rFonts w:ascii="Calibri" w:hAnsi="Calibri"/>
                <w:sz w:val="22"/>
              </w:rPr>
              <w:t>Adj. EPS</w:t>
            </w:r>
          </w:p>
        </w:tc>
        <w:tc>
          <w:tcPr>
            <w:tcW w:type="dxa" w:w="1440"/>
          </w:tcPr>
          <w:p>
            <w:r>
              <w:rPr>
                <w:rFonts w:ascii="Calibri" w:hAnsi="Calibri"/>
                <w:sz w:val="22"/>
              </w:rPr>
              <w:t>$0.597</w:t>
            </w:r>
          </w:p>
        </w:tc>
        <w:tc>
          <w:tcPr>
            <w:tcW w:type="dxa" w:w="1440"/>
          </w:tcPr>
          <w:p>
            <w:r>
              <w:rPr>
                <w:rFonts w:ascii="Calibri" w:hAnsi="Calibri"/>
                <w:sz w:val="22"/>
              </w:rPr>
              <w:t>$0.535</w:t>
            </w:r>
          </w:p>
        </w:tc>
        <w:tc>
          <w:tcPr>
            <w:tcW w:type="dxa" w:w="1440"/>
          </w:tcPr>
          <w:p>
            <w:r>
              <w:rPr>
                <w:rFonts w:ascii="Calibri" w:hAnsi="Calibri"/>
                <w:b/>
                <w:color w:val="30A46C"/>
                <w:sz w:val="22"/>
              </w:rPr>
              <w:t>+11.6%</w:t>
            </w:r>
          </w:p>
        </w:tc>
        <w:tc>
          <w:tcPr>
            <w:tcW w:type="dxa" w:w="1440"/>
          </w:tcPr>
          <w:p>
            <w:r>
              <w:rPr>
                <w:rFonts w:ascii="Calibri" w:hAnsi="Calibri"/>
                <w:sz w:val="22"/>
              </w:rPr>
              <w:t>Beat</w:t>
            </w:r>
          </w:p>
        </w:tc>
      </w:tr>
      <w:tr>
        <w:tc>
          <w:tcPr>
            <w:tcW w:type="dxa" w:w="1440"/>
          </w:tcPr>
          <w:p>
            <w:r>
              <w:rPr>
                <w:rFonts w:ascii="Calibri" w:hAnsi="Calibri"/>
                <w:sz w:val="22"/>
              </w:rPr>
              <w:t>4Q 2024</w:t>
            </w:r>
          </w:p>
        </w:tc>
        <w:tc>
          <w:tcPr>
            <w:tcW w:type="dxa" w:w="1440"/>
          </w:tcPr>
          <w:p>
            <w:r>
              <w:rPr>
                <w:rFonts w:ascii="Calibri" w:hAnsi="Calibri"/>
                <w:sz w:val="22"/>
              </w:rPr>
              <w:t>Adj. EBITDA</w:t>
            </w:r>
          </w:p>
        </w:tc>
        <w:tc>
          <w:tcPr>
            <w:tcW w:type="dxa" w:w="1440"/>
          </w:tcPr>
          <w:p>
            <w:r>
              <w:rPr>
                <w:rFonts w:ascii="Calibri" w:hAnsi="Calibri"/>
                <w:sz w:val="22"/>
              </w:rPr>
              <w:t>$1.776B</w:t>
            </w:r>
          </w:p>
        </w:tc>
        <w:tc>
          <w:tcPr>
            <w:tcW w:type="dxa" w:w="1440"/>
          </w:tcPr>
          <w:p>
            <w:r>
              <w:rPr>
                <w:rFonts w:ascii="Calibri" w:hAnsi="Calibri"/>
                <w:sz w:val="22"/>
              </w:rPr>
              <w:t>$1.780B</w:t>
            </w:r>
          </w:p>
        </w:tc>
        <w:tc>
          <w:tcPr>
            <w:tcW w:type="dxa" w:w="1440"/>
          </w:tcPr>
          <w:p>
            <w:r>
              <w:rPr>
                <w:rFonts w:ascii="Calibri" w:hAnsi="Calibri"/>
                <w:sz w:val="22"/>
              </w:rPr>
              <w:t>−0.2%</w:t>
            </w:r>
          </w:p>
        </w:tc>
        <w:tc>
          <w:tcPr>
            <w:tcW w:type="dxa" w:w="1440"/>
          </w:tcPr>
          <w:p>
            <w:r>
              <w:rPr>
                <w:rFonts w:ascii="Calibri" w:hAnsi="Calibri"/>
                <w:sz w:val="22"/>
              </w:rPr>
              <w:t>In Line</w:t>
            </w:r>
          </w:p>
        </w:tc>
      </w:tr>
      <w:tr>
        <w:tc>
          <w:tcPr>
            <w:tcW w:type="dxa" w:w="1440"/>
          </w:tcPr>
          <w:p>
            <w:r>
              <w:rPr>
                <w:rFonts w:ascii="Calibri" w:hAnsi="Calibri"/>
                <w:sz w:val="22"/>
              </w:rPr>
              <w:t>4Q 2024</w:t>
            </w:r>
          </w:p>
        </w:tc>
        <w:tc>
          <w:tcPr>
            <w:tcW w:type="dxa" w:w="1440"/>
          </w:tcPr>
          <w:p>
            <w:r>
              <w:rPr>
                <w:rFonts w:ascii="Calibri" w:hAnsi="Calibri"/>
                <w:sz w:val="22"/>
              </w:rPr>
              <w:t>Adj. EPS</w:t>
            </w:r>
          </w:p>
        </w:tc>
        <w:tc>
          <w:tcPr>
            <w:tcW w:type="dxa" w:w="1440"/>
          </w:tcPr>
          <w:p>
            <w:r>
              <w:rPr>
                <w:rFonts w:ascii="Calibri" w:hAnsi="Calibri"/>
                <w:sz w:val="22"/>
              </w:rPr>
              <w:t>$0.47</w:t>
            </w:r>
          </w:p>
        </w:tc>
        <w:tc>
          <w:tcPr>
            <w:tcW w:type="dxa" w:w="1440"/>
          </w:tcPr>
          <w:p>
            <w:r>
              <w:rPr>
                <w:rFonts w:ascii="Calibri" w:hAnsi="Calibri"/>
                <w:sz w:val="22"/>
              </w:rPr>
              <w:t>$0.430</w:t>
            </w:r>
          </w:p>
        </w:tc>
        <w:tc>
          <w:tcPr>
            <w:tcW w:type="dxa" w:w="1440"/>
          </w:tcPr>
          <w:p>
            <w:r>
              <w:rPr>
                <w:rFonts w:ascii="Calibri" w:hAnsi="Calibri"/>
                <w:b/>
                <w:color w:val="30A46C"/>
                <w:sz w:val="22"/>
              </w:rPr>
              <w:t>+9.3%</w:t>
            </w:r>
          </w:p>
        </w:tc>
        <w:tc>
          <w:tcPr>
            <w:tcW w:type="dxa" w:w="1440"/>
          </w:tcPr>
          <w:p>
            <w:r>
              <w:rPr>
                <w:rFonts w:ascii="Calibri" w:hAnsi="Calibri"/>
                <w:sz w:val="22"/>
              </w:rPr>
              <w:t>Beat</w:t>
            </w:r>
          </w:p>
        </w:tc>
      </w:tr>
      <w:tr>
        <w:tc>
          <w:tcPr>
            <w:tcW w:type="dxa" w:w="1440"/>
          </w:tcPr>
          <w:p>
            <w:r>
              <w:rPr>
                <w:rFonts w:ascii="Calibri" w:hAnsi="Calibri"/>
                <w:sz w:val="22"/>
              </w:rPr>
              <w:t>3Q 2024</w:t>
            </w:r>
          </w:p>
        </w:tc>
        <w:tc>
          <w:tcPr>
            <w:tcW w:type="dxa" w:w="1440"/>
          </w:tcPr>
          <w:p>
            <w:r>
              <w:rPr>
                <w:rFonts w:ascii="Calibri" w:hAnsi="Calibri"/>
                <w:sz w:val="22"/>
              </w:rPr>
              <w:t>Adj. EBITDA</w:t>
            </w:r>
          </w:p>
        </w:tc>
        <w:tc>
          <w:tcPr>
            <w:tcW w:type="dxa" w:w="1440"/>
          </w:tcPr>
          <w:p>
            <w:r>
              <w:rPr>
                <w:rFonts w:ascii="Calibri" w:hAnsi="Calibri"/>
                <w:sz w:val="22"/>
              </w:rPr>
              <w:t>$1.703B</w:t>
            </w:r>
          </w:p>
        </w:tc>
        <w:tc>
          <w:tcPr>
            <w:tcW w:type="dxa" w:w="1440"/>
          </w:tcPr>
          <w:p>
            <w:r>
              <w:rPr>
                <w:rFonts w:ascii="Calibri" w:hAnsi="Calibri"/>
                <w:sz w:val="22"/>
              </w:rPr>
              <w:t>$1.694B</w:t>
            </w:r>
          </w:p>
        </w:tc>
        <w:tc>
          <w:tcPr>
            <w:tcW w:type="dxa" w:w="1440"/>
          </w:tcPr>
          <w:p>
            <w:r>
              <w:rPr>
                <w:rFonts w:ascii="Calibri" w:hAnsi="Calibri"/>
                <w:b/>
                <w:color w:val="30A46C"/>
                <w:sz w:val="22"/>
              </w:rPr>
              <w:t>+0.5%</w:t>
            </w:r>
          </w:p>
        </w:tc>
        <w:tc>
          <w:tcPr>
            <w:tcW w:type="dxa" w:w="1440"/>
          </w:tcPr>
          <w:p>
            <w:r>
              <w:rPr>
                <w:rFonts w:ascii="Calibri" w:hAnsi="Calibri"/>
                <w:sz w:val="22"/>
              </w:rPr>
              <w:t>Beat</w:t>
            </w:r>
          </w:p>
        </w:tc>
      </w:tr>
      <w:tr>
        <w:tc>
          <w:tcPr>
            <w:tcW w:type="dxa" w:w="1440"/>
          </w:tcPr>
          <w:p>
            <w:r>
              <w:rPr>
                <w:rFonts w:ascii="Calibri" w:hAnsi="Calibri"/>
                <w:sz w:val="22"/>
              </w:rPr>
              <w:t>3Q 2024</w:t>
            </w:r>
          </w:p>
        </w:tc>
        <w:tc>
          <w:tcPr>
            <w:tcW w:type="dxa" w:w="1440"/>
          </w:tcPr>
          <w:p>
            <w:r>
              <w:rPr>
                <w:rFonts w:ascii="Calibri" w:hAnsi="Calibri"/>
                <w:sz w:val="22"/>
              </w:rPr>
              <w:t>Adj. EPS</w:t>
            </w:r>
          </w:p>
        </w:tc>
        <w:tc>
          <w:tcPr>
            <w:tcW w:type="dxa" w:w="1440"/>
          </w:tcPr>
          <w:p>
            <w:r>
              <w:rPr>
                <w:rFonts w:ascii="Calibri" w:hAnsi="Calibri"/>
                <w:sz w:val="22"/>
              </w:rPr>
              <w:t>$0.432</w:t>
            </w:r>
          </w:p>
        </w:tc>
        <w:tc>
          <w:tcPr>
            <w:tcW w:type="dxa" w:w="1440"/>
          </w:tcPr>
          <w:p>
            <w:r>
              <w:rPr>
                <w:rFonts w:ascii="Calibri" w:hAnsi="Calibri"/>
                <w:sz w:val="22"/>
              </w:rPr>
              <w:t>$0.396</w:t>
            </w:r>
          </w:p>
        </w:tc>
        <w:tc>
          <w:tcPr>
            <w:tcW w:type="dxa" w:w="1440"/>
          </w:tcPr>
          <w:p>
            <w:r>
              <w:rPr>
                <w:rFonts w:ascii="Calibri" w:hAnsi="Calibri"/>
                <w:b/>
                <w:color w:val="30A46C"/>
                <w:sz w:val="22"/>
              </w:rPr>
              <w:t>+9.1%</w:t>
            </w:r>
          </w:p>
        </w:tc>
        <w:tc>
          <w:tcPr>
            <w:tcW w:type="dxa" w:w="1440"/>
          </w:tcPr>
          <w:p>
            <w:r>
              <w:rPr>
                <w:rFonts w:ascii="Calibri" w:hAnsi="Calibri"/>
                <w:sz w:val="22"/>
              </w:rPr>
              <w:t>Beat</w:t>
            </w:r>
          </w:p>
        </w:tc>
      </w:tr>
    </w:tbl>
    <w:p>
      <w:r>
        <w:rPr>
          <w:rFonts w:ascii="Calibri" w:hAnsi="Calibri"/>
          <w:b/>
          <w:color w:val="525866"/>
          <w:sz w:val="22"/>
        </w:rPr>
        <w:t xml:space="preserve">Pattern: </w:t>
      </w:r>
      <w:r>
        <w:rPr>
          <w:rFonts w:ascii="Calibri" w:hAnsi="Calibri"/>
          <w:color w:val="525866"/>
          <w:sz w:val="22"/>
        </w:rPr>
        <w:t>WMB has beaten Adj. EBITDA consensus in 6 of the last 8 quarters, with the two misses concentrated in the seasonally weak Q2/Q3 2025 period; Adj. EPS beats have been more consistent and larger in magnitude, particularly in Q1 quarters. Q2 has historically been the toughest quarter to beat on EBITDA given seasonal demand patterns.</w:t>
      </w:r>
    </w:p>
    <w:p>
      <w:r>
        <w:rPr>
          <w:rFonts w:ascii="Calibri" w:hAnsi="Calibri"/>
          <w:i/>
          <w:color w:val="525866"/>
          <w:sz w:val="22"/>
        </w:rPr>
        <w:t>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Guidance has been constructively revised since Q1 earnings — EBITDA narrowed to the upper half of the range and leverage improved materially (4.1x → ~3.6x midpoint) following the Blackstone JV; EPS and CapEx ranges are unchanged, preserving the original growth framework.</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 May 5, 2026)</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FY 2026 Adjusted EBITDA</w:t>
            </w:r>
          </w:p>
        </w:tc>
        <w:tc>
          <w:tcPr>
            <w:tcW w:type="dxa" w:w="1728"/>
          </w:tcPr>
          <w:p>
            <w:r>
              <w:rPr>
                <w:rFonts w:ascii="Calibri" w:hAnsi="Calibri"/>
                <w:sz w:val="22"/>
              </w:rPr>
              <w:t>Upper half of $8.05–$8.35B range</w:t>
            </w:r>
          </w:p>
        </w:tc>
        <w:tc>
          <w:tcPr>
            <w:tcW w:type="dxa" w:w="1728"/>
          </w:tcPr>
          <w:p>
            <w:r>
              <w:rPr>
                <w:rFonts w:ascii="Calibri" w:hAnsi="Calibri"/>
                <w:sz w:val="22"/>
              </w:rPr>
              <w:t>Reaffirmed at upper half</w:t>
            </w:r>
          </w:p>
        </w:tc>
        <w:tc>
          <w:tcPr>
            <w:tcW w:type="dxa" w:w="1728"/>
          </w:tcPr>
          <w:p>
            <w:r>
              <w:rPr>
                <w:rFonts w:ascii="Calibri" w:hAnsi="Calibri"/>
                <w:sz w:val="22"/>
              </w:rPr>
              <w:t>$8.355B</w:t>
            </w:r>
          </w:p>
        </w:tc>
        <w:tc>
          <w:tcPr>
            <w:tcW w:type="dxa" w:w="1728"/>
          </w:tcPr>
          <w:p>
            <w:r>
              <w:rPr>
                <w:rFonts w:ascii="Calibri" w:hAnsi="Calibri"/>
                <w:sz w:val="22"/>
              </w:rPr>
              <w:t>→ Reaffirmed at July 13 JV announcement; tone unchanged</w:t>
            </w:r>
          </w:p>
        </w:tc>
      </w:tr>
      <w:tr>
        <w:tc>
          <w:tcPr>
            <w:tcW w:type="dxa" w:w="1728"/>
          </w:tcPr>
          <w:p>
            <w:r>
              <w:rPr>
                <w:rFonts w:ascii="Calibri" w:hAnsi="Calibri"/>
                <w:sz w:val="22"/>
              </w:rPr>
              <w:t>FY 2026 Adj. EPS</w:t>
            </w:r>
          </w:p>
        </w:tc>
        <w:tc>
          <w:tcPr>
            <w:tcW w:type="dxa" w:w="1728"/>
          </w:tcPr>
          <w:p>
            <w:r>
              <w:rPr>
                <w:rFonts w:ascii="Calibri" w:hAnsi="Calibri"/>
                <w:sz w:val="22"/>
              </w:rPr>
              <w:t>$2.20–$2.38</w:t>
            </w:r>
          </w:p>
        </w:tc>
        <w:tc>
          <w:tcPr>
            <w:tcW w:type="dxa" w:w="1728"/>
          </w:tcPr>
          <w:p>
            <w:r>
              <w:rPr>
                <w:rFonts w:ascii="Calibri" w:hAnsi="Calibri"/>
                <w:sz w:val="22"/>
              </w:rPr>
              <w:t>—</w:t>
            </w:r>
          </w:p>
        </w:tc>
        <w:tc>
          <w:tcPr>
            <w:tcW w:type="dxa" w:w="1728"/>
          </w:tcPr>
          <w:p>
            <w:r>
              <w:rPr>
                <w:rFonts w:ascii="Calibri" w:hAnsi="Calibri"/>
                <w:sz w:val="22"/>
              </w:rPr>
              <w:t>$2.390</w:t>
            </w:r>
          </w:p>
        </w:tc>
        <w:tc>
          <w:tcPr>
            <w:tcW w:type="dxa" w:w="1728"/>
          </w:tcPr>
          <w:p>
            <w:r>
              <w:rPr>
                <w:rFonts w:ascii="Calibri" w:hAnsi="Calibri"/>
                <w:sz w:val="22"/>
              </w:rPr>
              <w:t>→ Unchanged per July 13 update; all per-share ranges reaffirmed</w:t>
            </w:r>
          </w:p>
        </w:tc>
      </w:tr>
      <w:tr>
        <w:tc>
          <w:tcPr>
            <w:tcW w:type="dxa" w:w="1728"/>
          </w:tcPr>
          <w:p>
            <w:r>
              <w:rPr>
                <w:rFonts w:ascii="Calibri" w:hAnsi="Calibri"/>
                <w:sz w:val="22"/>
              </w:rPr>
              <w:t>FY 2026 Growth CapEx</w:t>
            </w:r>
          </w:p>
        </w:tc>
        <w:tc>
          <w:tcPr>
            <w:tcW w:type="dxa" w:w="1728"/>
          </w:tcPr>
          <w:p>
            <w:r>
              <w:rPr>
                <w:rFonts w:ascii="Calibri" w:hAnsi="Calibri"/>
                <w:sz w:val="22"/>
              </w:rPr>
              <w:t>$7.0–$7.6B (midpoint raised to $7.3B at Q1)</w:t>
            </w:r>
          </w:p>
        </w:tc>
        <w:tc>
          <w:tcPr>
            <w:tcW w:type="dxa" w:w="1728"/>
          </w:tcPr>
          <w:p>
            <w:r>
              <w:rPr>
                <w:rFonts w:ascii="Calibri" w:hAnsi="Calibri"/>
                <w:sz w:val="22"/>
              </w:rPr>
              <w:t>—</w:t>
            </w:r>
          </w:p>
        </w:tc>
        <w:tc>
          <w:tcPr>
            <w:tcW w:type="dxa" w:w="1728"/>
          </w:tcPr>
          <w:p>
            <w:r>
              <w:rPr>
                <w:rFonts w:ascii="Calibri" w:hAnsi="Calibri"/>
                <w:sz w:val="22"/>
              </w:rPr>
              <w:t>$8.22B (FY consensus incl. maintenance)</w:t>
            </w:r>
          </w:p>
        </w:tc>
        <w:tc>
          <w:tcPr>
            <w:tcW w:type="dxa" w:w="1728"/>
          </w:tcPr>
          <w:p>
            <w:r>
              <w:rPr>
                <w:rFonts w:ascii="Calibri" w:hAnsi="Calibri"/>
                <w:sz w:val="22"/>
              </w:rPr>
              <w:t>→ Reaffirmed at July 13; excludes reimbursable long-lead equipment</w:t>
            </w:r>
          </w:p>
        </w:tc>
      </w:tr>
      <w:tr>
        <w:tc>
          <w:tcPr>
            <w:tcW w:type="dxa" w:w="1728"/>
          </w:tcPr>
          <w:p>
            <w:r>
              <w:rPr>
                <w:rFonts w:ascii="Calibri" w:hAnsi="Calibri"/>
                <w:sz w:val="22"/>
              </w:rPr>
              <w:t>FY 2026 Maintenance CapEx</w:t>
            </w:r>
          </w:p>
        </w:tc>
        <w:tc>
          <w:tcPr>
            <w:tcW w:type="dxa" w:w="1728"/>
          </w:tcPr>
          <w:p>
            <w:r>
              <w:rPr>
                <w:rFonts w:ascii="Calibri" w:hAnsi="Calibri"/>
                <w:sz w:val="22"/>
              </w:rPr>
              <w:t>$850M–$950M</w:t>
            </w:r>
          </w:p>
        </w:tc>
        <w:tc>
          <w:tcPr>
            <w:tcW w:type="dxa" w:w="1728"/>
          </w:tcPr>
          <w:p>
            <w:r>
              <w:rPr>
                <w:rFonts w:ascii="Calibri" w:hAnsi="Calibri"/>
                <w:sz w:val="22"/>
              </w:rPr>
              <w:t>—</w:t>
            </w:r>
          </w:p>
        </w:tc>
        <w:tc>
          <w:tcPr>
            <w:tcW w:type="dxa" w:w="1728"/>
          </w:tcPr>
          <w:p>
            <w:r>
              <w:rPr>
                <w:rFonts w:ascii="Calibri" w:hAnsi="Calibri"/>
                <w:sz w:val="22"/>
              </w:rPr>
              <w:t>N/A — not separately tracked in VA</w:t>
            </w:r>
          </w:p>
        </w:tc>
        <w:tc>
          <w:tcPr>
            <w:tcW w:type="dxa" w:w="1728"/>
          </w:tcPr>
          <w:p>
            <w:r>
              <w:rPr>
                <w:rFonts w:ascii="Calibri" w:hAnsi="Calibri"/>
                <w:sz w:val="22"/>
              </w:rPr>
              <w:t>→ Reaffirmed at July 13</w:t>
            </w:r>
          </w:p>
        </w:tc>
      </w:tr>
      <w:tr>
        <w:tc>
          <w:tcPr>
            <w:tcW w:type="dxa" w:w="1728"/>
          </w:tcPr>
          <w:p>
            <w:r>
              <w:rPr>
                <w:rFonts w:ascii="Calibri" w:hAnsi="Calibri"/>
                <w:sz w:val="22"/>
              </w:rPr>
              <w:t>FY 2026 Leverage (Debt/Adj. EBITDA)</w:t>
            </w:r>
          </w:p>
        </w:tc>
        <w:tc>
          <w:tcPr>
            <w:tcW w:type="dxa" w:w="1728"/>
          </w:tcPr>
          <w:p>
            <w:r>
              <w:rPr>
                <w:rFonts w:ascii="Calibri" w:hAnsi="Calibri"/>
                <w:sz w:val="22"/>
              </w:rPr>
              <w:t>~4.1x (modestly above 3.5–4.0x target)</w:t>
            </w:r>
          </w:p>
        </w:tc>
        <w:tc>
          <w:tcPr>
            <w:tcW w:type="dxa" w:w="1728"/>
          </w:tcPr>
          <w:p>
            <w:r>
              <w:rPr>
                <w:rFonts w:ascii="Calibri" w:hAnsi="Calibri"/>
                <w:sz w:val="22"/>
              </w:rPr>
              <w:t>~3.6x midpoint (updated July 13)</w:t>
            </w:r>
          </w:p>
        </w:tc>
        <w:tc>
          <w:tcPr>
            <w:tcW w:type="dxa" w:w="1728"/>
          </w:tcPr>
          <w:p>
            <w:r>
              <w:rPr>
                <w:rFonts w:ascii="Calibri" w:hAnsi="Calibri"/>
                <w:sz w:val="22"/>
              </w:rPr>
              <w:t>N/A — not in VA consensus</w:t>
            </w:r>
          </w:p>
        </w:tc>
        <w:tc>
          <w:tcPr>
            <w:tcW w:type="dxa" w:w="1728"/>
          </w:tcPr>
          <w:p>
            <w:r>
              <w:rPr>
                <w:rFonts w:ascii="Calibri" w:hAnsi="Calibri"/>
                <w:sz w:val="22"/>
              </w:rPr>
              <w:t>↑ Improved materially at July 13 JV announcement; Blackstone $5.34B investment reduces corporate debt exposure; returns leverage toward target range</w:t>
            </w:r>
          </w:p>
        </w:tc>
      </w:tr>
      <w:tr>
        <w:tc>
          <w:tcPr>
            <w:tcW w:type="dxa" w:w="1728"/>
          </w:tcPr>
          <w:p>
            <w:r>
              <w:rPr>
                <w:rFonts w:ascii="Calibri" w:hAnsi="Calibri"/>
                <w:sz w:val="22"/>
              </w:rPr>
              <w:t>Socrates Partial Startup</w:t>
            </w:r>
          </w:p>
        </w:tc>
        <w:tc>
          <w:tcPr>
            <w:tcW w:type="dxa" w:w="1728"/>
          </w:tcPr>
          <w:p>
            <w:r>
              <w:rPr>
                <w:rFonts w:ascii="Calibri" w:hAnsi="Calibri"/>
                <w:sz w:val="22"/>
              </w:rPr>
              <w:t>Q3 2026 (partial)</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 On track per Q1 call; commissioning underway; key H2 2026 catalyst</w:t>
            </w:r>
          </w:p>
        </w:tc>
      </w:tr>
      <w:tr>
        <w:tc>
          <w:tcPr>
            <w:tcW w:type="dxa" w:w="1728"/>
          </w:tcPr>
          <w:p>
            <w:r>
              <w:rPr>
                <w:rFonts w:ascii="Calibri" w:hAnsi="Calibri"/>
                <w:sz w:val="22"/>
              </w:rPr>
              <w:t>EBITDA/EPS CAGR Target (2025–2030)</w:t>
            </w:r>
          </w:p>
        </w:tc>
        <w:tc>
          <w:tcPr>
            <w:tcW w:type="dxa" w:w="1728"/>
          </w:tcPr>
          <w:p>
            <w:r>
              <w:rPr>
                <w:rFonts w:ascii="Calibri" w:hAnsi="Calibri"/>
                <w:sz w:val="22"/>
              </w:rPr>
              <w:t>10%+ CAGR; contracted backlog supports ~9% base</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 Unchanged; management tone confident; JV structure preserves long-term upside via buyout right (years 7–14)</w:t>
            </w:r>
          </w:p>
        </w:tc>
      </w:tr>
    </w:tbl>
    <w:p>
      <w:r>
        <w:rPr>
          <w:rFonts w:ascii="Calibri" w:hAnsi="Calibri"/>
          <w:i/>
          <w:color w:val="525866"/>
          <w:sz w:val="22"/>
        </w:rPr>
        <w:t>Sources: Williams Companies Q1 2026 Earnings Call Transcript (May 5, 2026); Williams Companies 8-K and Press Release dated July 13, 2026.</w:t>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Estimates for 2Q 2026 have drifted ~1% lower since the Q1 print (reflecting seasonal step-down, not deterioration), while FY 2026 EBITDA consensus has nudged slightly higher — a constructive divergence that suggests the Street is gaining confidence in H2 acceleration even as the near-term bar stays modest.</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11, 2026)</w:t>
            </w:r>
          </w:p>
        </w:tc>
        <w:tc>
          <w:tcPr>
            <w:tcW w:type="dxa" w:w="1080"/>
            <w:shd w:val="clear" w:color="auto" w:fill="3B4259"/>
          </w:tcPr>
          <w:p>
            <w:r>
              <w:rPr>
                <w:rFonts w:ascii="Calibri" w:hAnsi="Calibri"/>
                <w:b/>
                <w:color w:val="FFFFFF"/>
                <w:sz w:val="22"/>
              </w:rPr>
              <w:t>Current Consensus (Aug 2,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 (July 13 Update)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Current Guidance</w:t>
            </w:r>
          </w:p>
        </w:tc>
      </w:tr>
      <w:tr>
        <w:tc>
          <w:tcPr>
            <w:tcW w:type="dxa" w:w="1080"/>
          </w:tcPr>
          <w:p>
            <w:r>
              <w:rPr>
                <w:rFonts w:ascii="Calibri" w:hAnsi="Calibri"/>
                <w:sz w:val="22"/>
              </w:rPr>
              <w:t>Adj. EBITDA — 2Q 2026</w:t>
            </w:r>
          </w:p>
        </w:tc>
        <w:tc>
          <w:tcPr>
            <w:tcW w:type="dxa" w:w="1080"/>
          </w:tcPr>
          <w:p>
            <w:r>
              <w:rPr>
                <w:rFonts w:ascii="Calibri" w:hAnsi="Calibri"/>
                <w:sz w:val="22"/>
              </w:rPr>
              <w:t>$1.959B</w:t>
            </w:r>
          </w:p>
        </w:tc>
        <w:tc>
          <w:tcPr>
            <w:tcW w:type="dxa" w:w="1080"/>
          </w:tcPr>
          <w:p>
            <w:r>
              <w:rPr>
                <w:rFonts w:ascii="Calibri" w:hAnsi="Calibri"/>
                <w:sz w:val="22"/>
              </w:rPr>
              <w:t>$1.940B</w:t>
            </w:r>
          </w:p>
        </w:tc>
        <w:tc>
          <w:tcPr>
            <w:tcW w:type="dxa" w:w="1080"/>
          </w:tcPr>
          <w:p>
            <w:r>
              <w:rPr>
                <w:rFonts w:ascii="Calibri" w:hAnsi="Calibri"/>
                <w:sz w:val="22"/>
              </w:rPr>
              <w:t>−1.0%</w:t>
            </w:r>
          </w:p>
        </w:tc>
        <w:tc>
          <w:tcPr>
            <w:tcW w:type="dxa" w:w="1080"/>
          </w:tcPr>
          <w:p>
            <w:r>
              <w:rPr>
                <w:rFonts w:ascii="Calibri" w:hAnsi="Calibri"/>
                <w:sz w:val="22"/>
              </w:rPr>
              <w:t>Seasonally lower than Q1; upper-half FY range implies H2 ramp</w:t>
            </w:r>
          </w:p>
        </w:tc>
        <w:tc>
          <w:tcPr>
            <w:tcW w:type="dxa" w:w="1080"/>
          </w:tcPr>
          <w:p>
            <w:r>
              <w:rPr>
                <w:rFonts w:ascii="Calibri" w:hAnsi="Calibri"/>
                <w:sz w:val="22"/>
              </w:rPr>
              <w:t>Reaffirmed (upper half of $8.05–$8.35B FY)</w:t>
            </w:r>
          </w:p>
        </w:tc>
        <w:tc>
          <w:tcPr>
            <w:tcW w:type="dxa" w:w="1080"/>
          </w:tcPr>
          <w:p>
            <w:r>
              <w:rPr>
                <w:rFonts w:ascii="Calibri" w:hAnsi="Calibri"/>
                <w:sz w:val="22"/>
              </w:rPr>
              <w:t>Unchanged</w:t>
            </w:r>
          </w:p>
        </w:tc>
        <w:tc>
          <w:tcPr>
            <w:tcW w:type="dxa" w:w="1080"/>
          </w:tcPr>
          <w:p>
            <w:r>
              <w:rPr>
                <w:rFonts w:ascii="Calibri" w:hAnsi="Calibri"/>
                <w:sz w:val="22"/>
              </w:rPr>
              <w:t>N/A (quarterly not guided)</w:t>
            </w:r>
          </w:p>
        </w:tc>
      </w:tr>
      <w:tr>
        <w:tc>
          <w:tcPr>
            <w:tcW w:type="dxa" w:w="1080"/>
          </w:tcPr>
          <w:p>
            <w:r>
              <w:rPr>
                <w:rFonts w:ascii="Calibri" w:hAnsi="Calibri"/>
                <w:sz w:val="22"/>
              </w:rPr>
              <w:t>Adj. EBITDA — FY 2026</w:t>
            </w:r>
          </w:p>
        </w:tc>
        <w:tc>
          <w:tcPr>
            <w:tcW w:type="dxa" w:w="1080"/>
          </w:tcPr>
          <w:p>
            <w:r>
              <w:rPr>
                <w:rFonts w:ascii="Calibri" w:hAnsi="Calibri"/>
                <w:sz w:val="22"/>
              </w:rPr>
              <w:t>$8.383B</w:t>
            </w:r>
          </w:p>
        </w:tc>
        <w:tc>
          <w:tcPr>
            <w:tcW w:type="dxa" w:w="1080"/>
          </w:tcPr>
          <w:p>
            <w:r>
              <w:rPr>
                <w:rFonts w:ascii="Calibri" w:hAnsi="Calibri"/>
                <w:sz w:val="22"/>
              </w:rPr>
              <w:t>$8.355B</w:t>
            </w:r>
          </w:p>
        </w:tc>
        <w:tc>
          <w:tcPr>
            <w:tcW w:type="dxa" w:w="1080"/>
          </w:tcPr>
          <w:p>
            <w:r>
              <w:rPr>
                <w:rFonts w:ascii="Calibri" w:hAnsi="Calibri"/>
                <w:sz w:val="22"/>
              </w:rPr>
              <w:t>−0.3%</w:t>
            </w:r>
          </w:p>
        </w:tc>
        <w:tc>
          <w:tcPr>
            <w:tcW w:type="dxa" w:w="1080"/>
          </w:tcPr>
          <w:p>
            <w:r>
              <w:rPr>
                <w:rFonts w:ascii="Calibri" w:hAnsi="Calibri"/>
                <w:sz w:val="22"/>
              </w:rPr>
              <w:t>Upper half of $8.05–$8.35B (~$8.20–$8.35B)</w:t>
            </w:r>
          </w:p>
        </w:tc>
        <w:tc>
          <w:tcPr>
            <w:tcW w:type="dxa" w:w="1080"/>
          </w:tcPr>
          <w:p>
            <w:r>
              <w:rPr>
                <w:rFonts w:ascii="Calibri" w:hAnsi="Calibri"/>
                <w:sz w:val="22"/>
              </w:rPr>
              <w:t>Reaffirmed at upper half</w:t>
            </w:r>
          </w:p>
        </w:tc>
        <w:tc>
          <w:tcPr>
            <w:tcW w:type="dxa" w:w="1080"/>
          </w:tcPr>
          <w:p>
            <w:r>
              <w:rPr>
                <w:rFonts w:ascii="Calibri" w:hAnsi="Calibri"/>
                <w:sz w:val="22"/>
              </w:rPr>
              <w:t>Unchanged</w:t>
            </w:r>
          </w:p>
        </w:tc>
        <w:tc>
          <w:tcPr>
            <w:tcW w:type="dxa" w:w="1080"/>
          </w:tcPr>
          <w:p>
            <w:r>
              <w:rPr>
                <w:rFonts w:ascii="Calibri" w:hAnsi="Calibri"/>
                <w:sz w:val="22"/>
              </w:rPr>
              <w:t>~+0.1% above upper-half midpoint (~$8.275B); slight premium to guidance</w:t>
            </w:r>
          </w:p>
        </w:tc>
      </w:tr>
      <w:tr>
        <w:tc>
          <w:tcPr>
            <w:tcW w:type="dxa" w:w="1080"/>
          </w:tcPr>
          <w:p>
            <w:r>
              <w:rPr>
                <w:rFonts w:ascii="Calibri" w:hAnsi="Calibri"/>
                <w:sz w:val="22"/>
              </w:rPr>
              <w:t>Adj. EPS — 2Q 2026</w:t>
            </w:r>
          </w:p>
        </w:tc>
        <w:tc>
          <w:tcPr>
            <w:tcW w:type="dxa" w:w="1080"/>
          </w:tcPr>
          <w:p>
            <w:r>
              <w:rPr>
                <w:rFonts w:ascii="Calibri" w:hAnsi="Calibri"/>
                <w:sz w:val="22"/>
              </w:rPr>
              <w:t>$0.508</w:t>
            </w:r>
          </w:p>
        </w:tc>
        <w:tc>
          <w:tcPr>
            <w:tcW w:type="dxa" w:w="1080"/>
          </w:tcPr>
          <w:p>
            <w:r>
              <w:rPr>
                <w:rFonts w:ascii="Calibri" w:hAnsi="Calibri"/>
                <w:sz w:val="22"/>
              </w:rPr>
              <w:t>$0.504</w:t>
            </w:r>
          </w:p>
        </w:tc>
        <w:tc>
          <w:tcPr>
            <w:tcW w:type="dxa" w:w="1080"/>
          </w:tcPr>
          <w:p>
            <w:r>
              <w:rPr>
                <w:rFonts w:ascii="Calibri" w:hAnsi="Calibri"/>
                <w:sz w:val="22"/>
              </w:rPr>
              <w:t>−0.8%</w:t>
            </w:r>
          </w:p>
        </w:tc>
        <w:tc>
          <w:tcPr>
            <w:tcW w:type="dxa" w:w="1080"/>
          </w:tcPr>
          <w:p>
            <w:r>
              <w:rPr>
                <w:rFonts w:ascii="Calibri" w:hAnsi="Calibri"/>
                <w:sz w:val="22"/>
              </w:rPr>
              <w:t>N/A (quarterly not guided)</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Adj. EPS — FY 2026</w:t>
            </w:r>
          </w:p>
        </w:tc>
        <w:tc>
          <w:tcPr>
            <w:tcW w:type="dxa" w:w="1080"/>
          </w:tcPr>
          <w:p>
            <w:r>
              <w:rPr>
                <w:rFonts w:ascii="Calibri" w:hAnsi="Calibri"/>
                <w:sz w:val="22"/>
              </w:rPr>
              <w:t>$2.361B</w:t>
            </w:r>
          </w:p>
        </w:tc>
        <w:tc>
          <w:tcPr>
            <w:tcW w:type="dxa" w:w="1080"/>
          </w:tcPr>
          <w:p>
            <w:r>
              <w:rPr>
                <w:rFonts w:ascii="Calibri" w:hAnsi="Calibri"/>
                <w:sz w:val="22"/>
              </w:rPr>
              <w:t>$2.390</w:t>
            </w:r>
          </w:p>
        </w:tc>
        <w:tc>
          <w:tcPr>
            <w:tcW w:type="dxa" w:w="1080"/>
          </w:tcPr>
          <w:p>
            <w:r>
              <w:rPr>
                <w:rFonts w:ascii="Calibri" w:hAnsi="Calibri"/>
                <w:sz w:val="22"/>
              </w:rPr>
              <w:t>+1.2%</w:t>
            </w:r>
          </w:p>
        </w:tc>
        <w:tc>
          <w:tcPr>
            <w:tcW w:type="dxa" w:w="1080"/>
          </w:tcPr>
          <w:p>
            <w:r>
              <w:rPr>
                <w:rFonts w:ascii="Calibri" w:hAnsi="Calibri"/>
                <w:sz w:val="22"/>
              </w:rPr>
              <w:t>$2.20–$2.38</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~+0.5% above guidance midpoint ($2.29); modest premium</w:t>
            </w:r>
          </w:p>
        </w:tc>
      </w:tr>
      <w:tr>
        <w:tc>
          <w:tcPr>
            <w:tcW w:type="dxa" w:w="1080"/>
          </w:tcPr>
          <w:p>
            <w:r>
              <w:rPr>
                <w:rFonts w:ascii="Calibri" w:hAnsi="Calibri"/>
                <w:sz w:val="22"/>
              </w:rPr>
              <w:t>AFFO — 2Q 2026</w:t>
            </w:r>
          </w:p>
        </w:tc>
        <w:tc>
          <w:tcPr>
            <w:tcW w:type="dxa" w:w="1080"/>
          </w:tcPr>
          <w:p>
            <w:r>
              <w:rPr>
                <w:rFonts w:ascii="Calibri" w:hAnsi="Calibri"/>
                <w:sz w:val="22"/>
              </w:rPr>
              <w:t>$1.463B</w:t>
            </w:r>
          </w:p>
        </w:tc>
        <w:tc>
          <w:tcPr>
            <w:tcW w:type="dxa" w:w="1080"/>
          </w:tcPr>
          <w:p>
            <w:r>
              <w:rPr>
                <w:rFonts w:ascii="Calibri" w:hAnsi="Calibri"/>
                <w:sz w:val="22"/>
              </w:rPr>
              <w:t>$1.450B</w:t>
            </w:r>
          </w:p>
        </w:tc>
        <w:tc>
          <w:tcPr>
            <w:tcW w:type="dxa" w:w="1080"/>
          </w:tcPr>
          <w:p>
            <w:r>
              <w:rPr>
                <w:rFonts w:ascii="Calibri" w:hAnsi="Calibri"/>
                <w:sz w:val="22"/>
              </w:rPr>
              <w:t>−0.9%</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bl>
    <w:p>
      <w:r>
        <w:rPr>
          <w:rFonts w:ascii="Calibri" w:hAnsi="Calibri"/>
          <w:color w:val="525866"/>
          <w:sz w:val="22"/>
        </w:rPr>
        <w:t xml:space="preserve">The near-term estimate drift (−1%) is entirely consistent with management's own seasonal guidance and does not signal analyst concern. The more telling signal is FY 2026 EPS revisions moving slightly </w:t>
      </w:r>
      <w:r>
        <w:rPr>
          <w:rFonts w:ascii="Calibri" w:hAnsi="Calibri"/>
          <w:b/>
          <w:color w:val="525866"/>
          <w:sz w:val="22"/>
        </w:rPr>
        <w:t>higher</w:t>
      </w:r>
      <w:r>
        <w:rPr>
          <w:rFonts w:ascii="Calibri" w:hAnsi="Calibri"/>
          <w:color w:val="525866"/>
          <w:sz w:val="22"/>
        </w:rPr>
        <w:t xml:space="preserve"> (+1.2%) since the Q1 print, suggesting the Street is incrementally more confident in the H2 earnings ramp driven by Socrates partial startup and NESE/SESE contributions.</w:t>
      </w:r>
    </w:p>
    <w:p>
      <w:r>
        <w:rPr>
          <w:rFonts w:ascii="Calibri" w:hAnsi="Calibri"/>
          <w:i/>
          <w:color w:val="525866"/>
          <w:sz w:val="22"/>
        </w:rPr>
        <w:t>Source: Visible Alpha Consensus and Actuals Data.</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WMB has underperformed both AMLP and the S&amp;P 500 since Q1 earnings (WMB −5.1% vs. AMLP +2.6% vs. SPY +4.1%), with the divergence driven by multiple compression rather than estimate cuts — a setup that could reverse sharply if Q2 results confirm the H2 earnings ramp and the Blackstone JV is received as leverage-positive.</w:t>
      </w:r>
    </w:p>
    <w:p>
      <w:r>
        <w:rPr>
          <w:rFonts w:ascii="Calibri" w:hAnsi="Calibri"/>
          <w:b/>
          <w:color w:val="525866"/>
          <w:sz w:val="22"/>
        </w:rPr>
        <w:t>Indexed Performance Since Q1 2026 Earnings (May 4, 2026 = 100) — WMB vs. AMLP (Alerian MLP ETF) vs. S&amp;P 500 (SPY)</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Date</w:t>
            </w:r>
          </w:p>
        </w:tc>
        <w:tc>
          <w:tcPr>
            <w:tcW w:type="dxa" w:w="2160"/>
            <w:shd w:val="clear" w:color="auto" w:fill="3B4259"/>
          </w:tcPr>
          <w:p>
            <w:r>
              <w:rPr>
                <w:rFonts w:ascii="Calibri" w:hAnsi="Calibri"/>
                <w:b/>
                <w:color w:val="FFFFFF"/>
                <w:sz w:val="22"/>
              </w:rPr>
              <w:t>WMB (Indexed)</w:t>
            </w:r>
          </w:p>
        </w:tc>
        <w:tc>
          <w:tcPr>
            <w:tcW w:type="dxa" w:w="2160"/>
            <w:shd w:val="clear" w:color="auto" w:fill="3B4259"/>
          </w:tcPr>
          <w:p>
            <w:r>
              <w:rPr>
                <w:rFonts w:ascii="Calibri" w:hAnsi="Calibri"/>
                <w:b/>
                <w:color w:val="FFFFFF"/>
                <w:sz w:val="22"/>
              </w:rPr>
              <w:t>AMLP (Indexed)</w:t>
            </w:r>
          </w:p>
        </w:tc>
        <w:tc>
          <w:tcPr>
            <w:tcW w:type="dxa" w:w="2160"/>
            <w:shd w:val="clear" w:color="auto" w:fill="3B4259"/>
          </w:tcPr>
          <w:p>
            <w:r>
              <w:rPr>
                <w:rFonts w:ascii="Calibri" w:hAnsi="Calibri"/>
                <w:b/>
                <w:color w:val="FFFFFF"/>
                <w:sz w:val="22"/>
              </w:rPr>
              <w:t>SPY (Indexed)</w:t>
            </w:r>
          </w:p>
        </w:tc>
      </w:tr>
      <w:tr>
        <w:tc>
          <w:tcPr>
            <w:tcW w:type="dxa" w:w="2160"/>
          </w:tcPr>
          <w:p>
            <w:r>
              <w:rPr>
                <w:rFonts w:ascii="Calibri" w:hAnsi="Calibri"/>
                <w:sz w:val="22"/>
              </w:rPr>
              <w:t>May 4, 2026 (Q1 Earnings)</w:t>
            </w:r>
          </w:p>
        </w:tc>
        <w:tc>
          <w:tcPr>
            <w:tcW w:type="dxa" w:w="2160"/>
          </w:tcPr>
          <w:p>
            <w:r>
              <w:rPr>
                <w:rFonts w:ascii="Calibri" w:hAnsi="Calibri"/>
                <w:sz w:val="22"/>
              </w:rPr>
              <w:t>100.0</w:t>
            </w:r>
          </w:p>
        </w:tc>
        <w:tc>
          <w:tcPr>
            <w:tcW w:type="dxa" w:w="2160"/>
          </w:tcPr>
          <w:p>
            <w:r>
              <w:rPr>
                <w:rFonts w:ascii="Calibri" w:hAnsi="Calibri"/>
                <w:sz w:val="22"/>
              </w:rPr>
              <w:t>100.0</w:t>
            </w:r>
          </w:p>
        </w:tc>
        <w:tc>
          <w:tcPr>
            <w:tcW w:type="dxa" w:w="2160"/>
          </w:tcPr>
          <w:p>
            <w:r>
              <w:rPr>
                <w:rFonts w:ascii="Calibri" w:hAnsi="Calibri"/>
                <w:sz w:val="22"/>
              </w:rPr>
              <w:t>100.0</w:t>
            </w:r>
          </w:p>
        </w:tc>
      </w:tr>
      <w:tr>
        <w:tc>
          <w:tcPr>
            <w:tcW w:type="dxa" w:w="2160"/>
          </w:tcPr>
          <w:p>
            <w:r>
              <w:rPr>
                <w:rFonts w:ascii="Calibri" w:hAnsi="Calibri"/>
                <w:sz w:val="22"/>
              </w:rPr>
              <w:t>May 19, 2026 (Peak)</w:t>
            </w:r>
          </w:p>
        </w:tc>
        <w:tc>
          <w:tcPr>
            <w:tcW w:type="dxa" w:w="2160"/>
          </w:tcPr>
          <w:p>
            <w:r>
              <w:rPr>
                <w:rFonts w:ascii="Calibri" w:hAnsi="Calibri"/>
                <w:sz w:val="22"/>
              </w:rPr>
              <w:t>105.3</w:t>
            </w:r>
          </w:p>
        </w:tc>
        <w:tc>
          <w:tcPr>
            <w:tcW w:type="dxa" w:w="2160"/>
          </w:tcPr>
          <w:p>
            <w:r>
              <w:rPr>
                <w:rFonts w:ascii="Calibri" w:hAnsi="Calibri"/>
                <w:sz w:val="22"/>
              </w:rPr>
              <w:t>101.7</w:t>
            </w:r>
          </w:p>
        </w:tc>
        <w:tc>
          <w:tcPr>
            <w:tcW w:type="dxa" w:w="2160"/>
          </w:tcPr>
          <w:p>
            <w:r>
              <w:rPr>
                <w:rFonts w:ascii="Calibri" w:hAnsi="Calibri"/>
                <w:sz w:val="22"/>
              </w:rPr>
              <w:t>102.2</w:t>
            </w:r>
          </w:p>
        </w:tc>
      </w:tr>
      <w:tr>
        <w:tc>
          <w:tcPr>
            <w:tcW w:type="dxa" w:w="2160"/>
          </w:tcPr>
          <w:p>
            <w:r>
              <w:rPr>
                <w:rFonts w:ascii="Calibri" w:hAnsi="Calibri"/>
                <w:sz w:val="22"/>
              </w:rPr>
              <w:t>Jun 1, 2026 (Trough)</w:t>
            </w:r>
          </w:p>
        </w:tc>
        <w:tc>
          <w:tcPr>
            <w:tcW w:type="dxa" w:w="2160"/>
          </w:tcPr>
          <w:p>
            <w:r>
              <w:rPr>
                <w:rFonts w:ascii="Calibri" w:hAnsi="Calibri"/>
                <w:sz w:val="22"/>
              </w:rPr>
              <w:t>92.9</w:t>
            </w:r>
          </w:p>
        </w:tc>
        <w:tc>
          <w:tcPr>
            <w:tcW w:type="dxa" w:w="2160"/>
          </w:tcPr>
          <w:p>
            <w:r>
              <w:rPr>
                <w:rFonts w:ascii="Calibri" w:hAnsi="Calibri"/>
                <w:sz w:val="22"/>
              </w:rPr>
              <w:t>96.8</w:t>
            </w:r>
          </w:p>
        </w:tc>
        <w:tc>
          <w:tcPr>
            <w:tcW w:type="dxa" w:w="2160"/>
          </w:tcPr>
          <w:p>
            <w:r>
              <w:rPr>
                <w:rFonts w:ascii="Calibri" w:hAnsi="Calibri"/>
                <w:sz w:val="22"/>
              </w:rPr>
              <w:t>105.6</w:t>
            </w:r>
          </w:p>
        </w:tc>
      </w:tr>
      <w:tr>
        <w:tc>
          <w:tcPr>
            <w:tcW w:type="dxa" w:w="2160"/>
          </w:tcPr>
          <w:p>
            <w:r>
              <w:rPr>
                <w:rFonts w:ascii="Calibri" w:hAnsi="Calibri"/>
                <w:sz w:val="22"/>
              </w:rPr>
              <w:t>Jul 13, 2026 (Blackstone JV)</w:t>
            </w:r>
          </w:p>
        </w:tc>
        <w:tc>
          <w:tcPr>
            <w:tcW w:type="dxa" w:w="2160"/>
          </w:tcPr>
          <w:p>
            <w:r>
              <w:rPr>
                <w:rFonts w:ascii="Calibri" w:hAnsi="Calibri"/>
                <w:sz w:val="22"/>
              </w:rPr>
              <w:t>98.7</w:t>
            </w:r>
          </w:p>
        </w:tc>
        <w:tc>
          <w:tcPr>
            <w:tcW w:type="dxa" w:w="2160"/>
          </w:tcPr>
          <w:p>
            <w:r>
              <w:rPr>
                <w:rFonts w:ascii="Calibri" w:hAnsi="Calibri"/>
                <w:sz w:val="22"/>
              </w:rPr>
              <w:t>99.6</w:t>
            </w:r>
          </w:p>
        </w:tc>
        <w:tc>
          <w:tcPr>
            <w:tcW w:type="dxa" w:w="2160"/>
          </w:tcPr>
          <w:p>
            <w:r>
              <w:rPr>
                <w:rFonts w:ascii="Calibri" w:hAnsi="Calibri"/>
                <w:sz w:val="22"/>
              </w:rPr>
              <w:t>104.4</w:t>
            </w:r>
          </w:p>
        </w:tc>
      </w:tr>
      <w:tr>
        <w:tc>
          <w:tcPr>
            <w:tcW w:type="dxa" w:w="2160"/>
          </w:tcPr>
          <w:p>
            <w:r>
              <w:rPr>
                <w:rFonts w:ascii="Calibri" w:hAnsi="Calibri"/>
                <w:sz w:val="22"/>
              </w:rPr>
              <w:t>Jul 31, 2026 (Latest)</w:t>
            </w:r>
          </w:p>
        </w:tc>
        <w:tc>
          <w:tcPr>
            <w:tcW w:type="dxa" w:w="2160"/>
          </w:tcPr>
          <w:p>
            <w:r>
              <w:rPr>
                <w:rFonts w:ascii="Calibri" w:hAnsi="Calibri"/>
                <w:sz w:val="22"/>
              </w:rPr>
              <w:t>94.9</w:t>
            </w:r>
          </w:p>
        </w:tc>
        <w:tc>
          <w:tcPr>
            <w:tcW w:type="dxa" w:w="2160"/>
          </w:tcPr>
          <w:p>
            <w:r>
              <w:rPr>
                <w:rFonts w:ascii="Calibri" w:hAnsi="Calibri"/>
                <w:sz w:val="22"/>
              </w:rPr>
              <w:t>102.6</w:t>
            </w:r>
          </w:p>
        </w:tc>
        <w:tc>
          <w:tcPr>
            <w:tcW w:type="dxa" w:w="2160"/>
          </w:tcPr>
          <w:p>
            <w:r>
              <w:rPr>
                <w:rFonts w:ascii="Calibri" w:hAnsi="Calibri"/>
                <w:sz w:val="22"/>
              </w:rPr>
              <w:t>104.1</w:t>
            </w:r>
          </w:p>
        </w:tc>
      </w:tr>
    </w:tbl>
    <w:p>
      <w:r>
        <w:rPr>
          <w:rFonts w:ascii="Calibri" w:hAnsi="Calibri"/>
          <w:b/>
          <w:color w:val="525866"/>
          <w:sz w:val="22"/>
        </w:rPr>
        <w:t>Key Events Since Q1 Earnings:</w:t>
      </w:r>
    </w:p>
    <w:p>
      <w:pPr>
        <w:pStyle w:val="ListBullet"/>
        <w:ind w:left="360" w:hanging="360"/>
      </w:pPr>
      <w:r>
        <w:rPr>
          <w:rFonts w:ascii="Calibri" w:hAnsi="Calibri"/>
          <w:b/>
          <w:color w:val="525866"/>
          <w:sz w:val="22"/>
        </w:rPr>
        <w:t>May 4–5, 2026:</w:t>
      </w:r>
      <w:r>
        <w:rPr>
          <w:rFonts w:ascii="Calibri" w:hAnsi="Calibri"/>
          <w:color w:val="525866"/>
          <w:sz w:val="22"/>
        </w:rPr>
        <w:t xml:space="preserve"> Q1 2026 earnings — record EBITDA beat, stock essentially flat on the day (much already priced in).</w:t>
      </w:r>
    </w:p>
    <w:p>
      <w:pPr>
        <w:pStyle w:val="ListBullet"/>
        <w:ind w:left="360" w:hanging="360"/>
      </w:pPr>
      <w:r>
        <w:rPr>
          <w:rFonts w:ascii="Calibri" w:hAnsi="Calibri"/>
          <w:b/>
          <w:color w:val="525866"/>
          <w:sz w:val="22"/>
        </w:rPr>
        <w:t>May 14–19, 2026:</w:t>
      </w:r>
      <w:r>
        <w:rPr>
          <w:rFonts w:ascii="Calibri" w:hAnsi="Calibri"/>
          <w:color w:val="525866"/>
          <w:sz w:val="22"/>
        </w:rPr>
        <w:t xml:space="preserve"> WMB rallied to cycle highs (~$79–80) on broad midstream strength and positive sector sentiment.</w:t>
      </w:r>
    </w:p>
    <w:p>
      <w:pPr>
        <w:pStyle w:val="ListBullet"/>
        <w:ind w:left="360" w:hanging="360"/>
      </w:pPr>
      <w:r>
        <w:rPr>
          <w:rFonts w:ascii="Calibri" w:hAnsi="Calibri"/>
          <w:b/>
          <w:color w:val="525866"/>
          <w:sz w:val="22"/>
        </w:rPr>
        <w:t>Late May – Early June 2026:</w:t>
      </w:r>
      <w:r>
        <w:rPr>
          <w:rFonts w:ascii="Calibri" w:hAnsi="Calibri"/>
          <w:color w:val="525866"/>
          <w:sz w:val="22"/>
        </w:rPr>
        <w:t xml:space="preserve"> WMB sold off sharply to ~$70 as the stock gave back gains; AMLP and SPY held up better, suggesting WMB-specific multiple compression.</w:t>
      </w:r>
    </w:p>
    <w:p>
      <w:pPr>
        <w:pStyle w:val="ListBullet"/>
        <w:ind w:left="360" w:hanging="360"/>
      </w:pPr>
      <w:r>
        <w:rPr>
          <w:rFonts w:ascii="Calibri" w:hAnsi="Calibri"/>
          <w:b/>
          <w:color w:val="525866"/>
          <w:sz w:val="22"/>
        </w:rPr>
        <w:t>July 1, 2026:</w:t>
      </w:r>
      <w:r>
        <w:rPr>
          <w:rFonts w:ascii="Calibri" w:hAnsi="Calibri"/>
          <w:color w:val="525866"/>
          <w:sz w:val="22"/>
        </w:rPr>
        <w:t xml:space="preserve"> Williams expanded its Board with two new independent directors (8-K).</w:t>
      </w:r>
    </w:p>
    <w:p>
      <w:pPr>
        <w:pStyle w:val="ListBullet"/>
        <w:ind w:left="360" w:hanging="360"/>
      </w:pPr>
      <w:r>
        <w:rPr>
          <w:rFonts w:ascii="Calibri" w:hAnsi="Calibri"/>
          <w:b/>
          <w:color w:val="525866"/>
          <w:sz w:val="22"/>
        </w:rPr>
        <w:t>July 13, 2026:</w:t>
      </w:r>
      <w:r>
        <w:rPr>
          <w:rFonts w:ascii="Calibri" w:hAnsi="Calibri"/>
          <w:color w:val="525866"/>
          <w:sz w:val="22"/>
        </w:rPr>
        <w:t xml:space="preserve"> Blackstone JV announcement — $5.34B committed capital for 49% noncontrolling interest in five Power Innovation projects; leverage midpoint updated to ~3.6x. Stock initially moved modestly (+2%) but gave back gains.</w:t>
      </w:r>
    </w:p>
    <w:p>
      <w:pPr>
        <w:pStyle w:val="ListBullet"/>
        <w:ind w:left="360" w:hanging="360"/>
      </w:pPr>
      <w:r>
        <w:rPr>
          <w:rFonts w:ascii="Calibri" w:hAnsi="Calibri"/>
          <w:b/>
          <w:color w:val="525866"/>
          <w:sz w:val="22"/>
        </w:rPr>
        <w:t>Late July 2026:</w:t>
      </w:r>
      <w:r>
        <w:rPr>
          <w:rFonts w:ascii="Calibri" w:hAnsi="Calibri"/>
          <w:color w:val="525866"/>
          <w:sz w:val="22"/>
        </w:rPr>
        <w:t xml:space="preserve"> WMB drifted lower to ~$70–$71 range, underperforming AMLP which continued to grind higher, likely reflecting broader energy sector volatility from US-Iran conflict and oil price swings.</w:t>
      </w:r>
    </w:p>
    <w:p>
      <w:r>
        <w:rPr>
          <w:rFonts w:ascii="Calibri" w:hAnsi="Calibri"/>
          <w:i/>
          <w:color w:val="525866"/>
          <w:sz w:val="22"/>
        </w:rPr>
        <w:t>Note: AMLP (Alerian MLP ETF) used as the midstream/natural gas infrastructure sector proxy. Source: Stock Price Data (Yahoo Finance).</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The July 13 Blackstone JV is the single most important post-Q1 development — it resolves the leverage overhang that was the primary bear concern and validates the Power Innovation economics at a 5x EBITDA multiple; the macro backdrop (US-Iran conflict, elevated oil/gas prices) is a net positive for natural gas demand but introduces volatility.</w:t>
      </w:r>
    </w:p>
    <w:p>
      <w:pPr>
        <w:pStyle w:val="ListBullet"/>
        <w:ind w:left="360" w:hanging="360"/>
      </w:pPr>
      <w:r>
        <w:rPr>
          <w:rFonts w:ascii="Calibri" w:hAnsi="Calibri"/>
          <w:b/>
          <w:color w:val="525866"/>
          <w:sz w:val="22"/>
        </w:rPr>
        <w:t>July 13, 2026 — Blackstone JV Financing Announced (</w:t>
      </w:r>
      <w:r>
        <w:rPr>
          <w:rFonts w:ascii="Calibri" w:hAnsi="Calibri"/>
          <w:b/>
          <w:color w:val="525866"/>
          <w:sz w:val="22"/>
          <w:u w:val="single"/>
        </w:rPr>
        <w:t>MOST IMPORTANT</w:t>
      </w:r>
      <w:r>
        <w:rPr>
          <w:rFonts w:ascii="Calibri" w:hAnsi="Calibri"/>
          <w:b/>
          <w:color w:val="525866"/>
          <w:sz w:val="22"/>
        </w:rPr>
        <w:t>):</w:t>
      </w:r>
      <w:r>
        <w:rPr>
          <w:rFonts w:ascii="Calibri" w:hAnsi="Calibri"/>
          <w:color w:val="525866"/>
          <w:sz w:val="22"/>
        </w:rPr>
        <w:t xml:space="preserve"> Williams secured $5.34B of committed capital from Blackstone (led), Apollo, and KKR in exchange for a 49% noncontrolling equity interest in five Power Innovation projects (Socrates, Apollo, Aquila, Socrates the Younger, Neo). The $4.4B represents 49% of expected total growth CapEx, plus ~$0.9B of additional consideration to Williams. Williams retains 51% interest and full commercial/operational control. Structure reduces corporate debt, returns leverage to ~3.6x midpoint (within target range), and preserves Williams' long-term upside via a buyout right in years 7–14. </w:t>
      </w:r>
      <w:r>
        <w:rPr>
          <w:rFonts w:ascii="Calibri" w:hAnsi="Calibri"/>
          <w:b/>
          <w:color w:val="525866"/>
          <w:sz w:val="22"/>
        </w:rPr>
        <w:t>Implication:</w:t>
      </w:r>
      <w:r>
        <w:rPr>
          <w:rFonts w:ascii="Calibri" w:hAnsi="Calibri"/>
          <w:color w:val="525866"/>
          <w:sz w:val="22"/>
        </w:rPr>
        <w:t xml:space="preserve"> Removes the #1 bear concern (leverage above target); validates Power Innovation economics with institutional capital at scale; management can now pursue additional projects without balance sheet constraint.</w:t>
      </w:r>
    </w:p>
    <w:p>
      <w:pPr>
        <w:pStyle w:val="ListBullet"/>
        <w:ind w:left="360" w:hanging="360"/>
      </w:pPr>
      <w:r>
        <w:rPr>
          <w:rFonts w:ascii="Calibri" w:hAnsi="Calibri"/>
          <w:b/>
          <w:color w:val="525866"/>
          <w:sz w:val="22"/>
        </w:rPr>
        <w:t>July 1, 2026 — Board Expansion:</w:t>
      </w:r>
      <w:r>
        <w:rPr>
          <w:rFonts w:ascii="Calibri" w:hAnsi="Calibri"/>
          <w:color w:val="525866"/>
          <w:sz w:val="22"/>
        </w:rPr>
        <w:t xml:space="preserve"> Williams added two new independent directors. </w:t>
      </w:r>
      <w:r>
        <w:rPr>
          <w:rFonts w:ascii="Calibri" w:hAnsi="Calibri"/>
          <w:b/>
          <w:color w:val="525866"/>
          <w:sz w:val="22"/>
        </w:rPr>
        <w:t>Implication:</w:t>
      </w:r>
      <w:r>
        <w:rPr>
          <w:rFonts w:ascii="Calibri" w:hAnsi="Calibri"/>
          <w:color w:val="525866"/>
          <w:sz w:val="22"/>
        </w:rPr>
        <w:t xml:space="preserve"> Governance enhancement; neutral to slightly positive for institutional investor confidence.</w:t>
      </w:r>
    </w:p>
    <w:p>
      <w:pPr>
        <w:pStyle w:val="ListBullet"/>
        <w:ind w:left="360" w:hanging="360"/>
      </w:pPr>
      <w:r>
        <w:rPr>
          <w:rFonts w:ascii="Calibri" w:hAnsi="Calibri"/>
          <w:b/>
          <w:color w:val="525866"/>
          <w:sz w:val="22"/>
        </w:rPr>
        <w:t>May 4–5, 2026 — Q1 2026 Record Results:</w:t>
      </w:r>
      <w:r>
        <w:rPr>
          <w:rFonts w:ascii="Calibri" w:hAnsi="Calibri"/>
          <w:color w:val="525866"/>
          <w:sz w:val="22"/>
        </w:rPr>
        <w:t xml:space="preserve"> Adjusted EBITDA of $2.254B (+13% YoY), Adj. EPS of $0.73 (+22% YoY), both records. Three new major projects announced (Neo, Atlas, Silver Spur); Power Express upsized to 750 MMcf/d. Full-year EBITDA guidance raised to upper half of range. </w:t>
      </w:r>
      <w:r>
        <w:rPr>
          <w:rFonts w:ascii="Calibri" w:hAnsi="Calibri"/>
          <w:b/>
          <w:color w:val="525866"/>
          <w:sz w:val="22"/>
        </w:rPr>
        <w:t>Implication:</w:t>
      </w:r>
      <w:r>
        <w:rPr>
          <w:rFonts w:ascii="Calibri" w:hAnsi="Calibri"/>
          <w:color w:val="525866"/>
          <w:sz w:val="22"/>
        </w:rPr>
        <w:t xml:space="preserve"> Established a high bar for execution; management credibility strong heading into Q2.</w:t>
      </w:r>
    </w:p>
    <w:p>
      <w:pPr>
        <w:pStyle w:val="ListBullet"/>
        <w:ind w:left="360" w:hanging="360"/>
      </w:pPr>
      <w:r>
        <w:rPr>
          <w:rFonts w:ascii="Calibri" w:hAnsi="Calibri"/>
          <w:b/>
          <w:color w:val="525866"/>
          <w:sz w:val="22"/>
        </w:rPr>
        <w:t>May 4, 2026 — Equity Incentive Plan Expansion:</w:t>
      </w:r>
      <w:r>
        <w:rPr>
          <w:rFonts w:ascii="Calibri" w:hAnsi="Calibri"/>
          <w:color w:val="525866"/>
          <w:sz w:val="22"/>
        </w:rPr>
        <w:t xml:space="preserve"> Shareholders approved expanded equity incentive plan, boosting share pool by 35 million shares. </w:t>
      </w:r>
      <w:r>
        <w:rPr>
          <w:rFonts w:ascii="Calibri" w:hAnsi="Calibri"/>
          <w:b/>
          <w:color w:val="525866"/>
          <w:sz w:val="22"/>
        </w:rPr>
        <w:t>Implication:</w:t>
      </w:r>
      <w:r>
        <w:rPr>
          <w:rFonts w:ascii="Calibri" w:hAnsi="Calibri"/>
          <w:color w:val="525866"/>
          <w:sz w:val="22"/>
        </w:rPr>
        <w:t xml:space="preserve"> Modest dilution risk; signals management retention focus as Power Innovation scales.</w:t>
      </w:r>
    </w:p>
    <w:p>
      <w:pPr>
        <w:pStyle w:val="ListBullet"/>
        <w:ind w:left="360" w:hanging="360"/>
      </w:pPr>
      <w:r>
        <w:rPr>
          <w:rFonts w:ascii="Calibri" w:hAnsi="Calibri"/>
          <w:b/>
          <w:color w:val="525866"/>
          <w:sz w:val="22"/>
        </w:rPr>
        <w:t>Ongoing — US-Iran Conflict &amp; Oil Price Volatility:</w:t>
      </w:r>
      <w:r>
        <w:rPr>
          <w:rFonts w:ascii="Calibri" w:hAnsi="Calibri"/>
          <w:color w:val="525866"/>
          <w:sz w:val="22"/>
        </w:rPr>
        <w:t xml:space="preserve"> Brent crude surged &gt;20% in July (briefly crossing $100/bbl) before pulling back on ceasefire signals. Strait of Hormuz traffic collapsed 66% in the week through July 20. </w:t>
      </w:r>
      <w:r>
        <w:rPr>
          <w:rFonts w:ascii="Calibri" w:hAnsi="Calibri"/>
          <w:b/>
          <w:color w:val="525866"/>
          <w:sz w:val="22"/>
        </w:rPr>
        <w:t>Implication:</w:t>
      </w:r>
      <w:r>
        <w:rPr>
          <w:rFonts w:ascii="Calibri" w:hAnsi="Calibri"/>
          <w:color w:val="525866"/>
          <w:sz w:val="22"/>
        </w:rPr>
        <w:t xml:space="preserve"> Net positive for US natural gas demand (coal-to-gas switching, LNG export demand surge) and WMB's Transco volumes; elevated energy prices support producer activity in Haynesville and Permian, benefiting WMB's G&amp;P segments.</w:t>
      </w:r>
    </w:p>
    <w:p>
      <w:pPr>
        <w:pStyle w:val="ListBullet"/>
        <w:ind w:left="360" w:hanging="360"/>
      </w:pPr>
      <w:r>
        <w:rPr>
          <w:rFonts w:ascii="Calibri" w:hAnsi="Calibri"/>
          <w:b/>
          <w:color w:val="525866"/>
          <w:sz w:val="22"/>
        </w:rPr>
        <w:t>July 2026 — KMI Q2 2026 Beat &amp; Guidance Raise:</w:t>
      </w:r>
      <w:r>
        <w:rPr>
          <w:rFonts w:ascii="Calibri" w:hAnsi="Calibri"/>
          <w:color w:val="525866"/>
          <w:sz w:val="22"/>
        </w:rPr>
        <w:t xml:space="preserve"> Kinder Morgan reported Adj. EPS of $0.37 vs. $0.32 consensus; raised FY 2026 guidance to at least 5% above budget on EBITDA and 12% above on EPS. Natural gas transport volumes +7% YoY. </w:t>
      </w:r>
      <w:r>
        <w:rPr>
          <w:rFonts w:ascii="Calibri" w:hAnsi="Calibri"/>
          <w:b/>
          <w:color w:val="525866"/>
          <w:sz w:val="22"/>
        </w:rPr>
        <w:t>Implication:</w:t>
      </w:r>
      <w:r>
        <w:rPr>
          <w:rFonts w:ascii="Calibri" w:hAnsi="Calibri"/>
          <w:color w:val="525866"/>
          <w:sz w:val="22"/>
        </w:rPr>
        <w:t xml:space="preserve"> Strong positive read-through for WMB's Transmission &amp; Gulf segment; confirms robust natural gas demand environment.</w:t>
      </w:r>
    </w:p>
    <w:p>
      <w:pPr>
        <w:pStyle w:val="ListBullet"/>
        <w:ind w:left="360" w:hanging="360"/>
      </w:pPr>
      <w:r>
        <w:rPr>
          <w:rFonts w:ascii="Calibri" w:hAnsi="Calibri"/>
          <w:b/>
          <w:color w:val="525866"/>
          <w:sz w:val="22"/>
        </w:rPr>
        <w:t>July 30, 2026 — EPD Q2 2026 Strong Results:</w:t>
      </w:r>
      <w:r>
        <w:rPr>
          <w:rFonts w:ascii="Calibri" w:hAnsi="Calibri"/>
          <w:color w:val="525866"/>
          <w:sz w:val="22"/>
        </w:rPr>
        <w:t xml:space="preserve"> Enterprise Products reported strong volumes and cash flow; total pipeline volumes +8% YoY; Haynesville extension sold out; LNG-serving lateral running at 800–1,000 MMcf/d and sold out. </w:t>
      </w:r>
      <w:r>
        <w:rPr>
          <w:rFonts w:ascii="Calibri" w:hAnsi="Calibri"/>
          <w:b/>
          <w:color w:val="525866"/>
          <w:sz w:val="22"/>
        </w:rPr>
        <w:t>Implication:</w:t>
      </w:r>
      <w:r>
        <w:rPr>
          <w:rFonts w:ascii="Calibri" w:hAnsi="Calibri"/>
          <w:color w:val="525866"/>
          <w:sz w:val="22"/>
        </w:rPr>
        <w:t xml:space="preserve"> Confirms Haynesville production ramp and LNG demand pull that directly benefits WMB's Gulf Coast infrastructure.</w:t>
      </w:r>
    </w:p>
    <w:p>
      <w:pPr>
        <w:pStyle w:val="ListBullet"/>
        <w:ind w:left="360" w:hanging="360"/>
      </w:pPr>
      <w:r>
        <w:rPr>
          <w:rFonts w:ascii="Calibri" w:hAnsi="Calibri"/>
          <w:b/>
          <w:color w:val="525866"/>
          <w:sz w:val="22"/>
        </w:rPr>
        <w:t>July 27, 2026 — Baker Hughes IET Orders Record:</w:t>
      </w:r>
      <w:r>
        <w:rPr>
          <w:rFonts w:ascii="Calibri" w:hAnsi="Calibri"/>
          <w:color w:val="525866"/>
          <w:sz w:val="22"/>
        </w:rPr>
        <w:t xml:space="preserve"> BKR reported IET orders of $7.1B (vs. $3.6B consensus), including a major order from Venture Global for 12 LNG trains for CP2 expansion. Raised full-year IET order guidance. </w:t>
      </w:r>
      <w:r>
        <w:rPr>
          <w:rFonts w:ascii="Calibri" w:hAnsi="Calibri"/>
          <w:b/>
          <w:color w:val="525866"/>
          <w:sz w:val="22"/>
        </w:rPr>
        <w:t>Implication:</w:t>
      </w:r>
      <w:r>
        <w:rPr>
          <w:rFonts w:ascii="Calibri" w:hAnsi="Calibri"/>
          <w:color w:val="525866"/>
          <w:sz w:val="22"/>
        </w:rPr>
        <w:t xml:space="preserve"> Confirms accelerating LNG infrastructure buildout that will drive incremental natural gas demand through WMB's Transco and Gulf Coast assets.</w:t>
      </w:r>
    </w:p>
    <w:p>
      <w:r>
        <w:br w:type="page"/>
      </w:r>
    </w:p>
    <w:p>
      <w:pPr>
        <w:pStyle w:val="Heading2"/>
      </w:pPr>
      <w:r>
        <w:rPr>
          <w:rFonts w:ascii="Calibri" w:hAnsi="Calibri"/>
          <w:b/>
          <w:color w:val="3B4259"/>
          <w:sz w:val="28"/>
        </w:rPr>
        <w:t>7. Insider Transaction Activity</w:t>
      </w:r>
    </w:p>
    <w:p>
      <w:r>
        <w:rPr>
          <w:rFonts w:ascii="Calibri" w:hAnsi="Calibri"/>
          <w:b/>
          <w:color w:val="525866"/>
          <w:sz w:val="22"/>
        </w:rPr>
        <w:t xml:space="preserve">Key Takeaway: </w:t>
      </w:r>
      <w:r>
        <w:rPr>
          <w:rFonts w:ascii="Calibri" w:hAnsi="Calibri"/>
          <w:color w:val="525866"/>
          <w:sz w:val="22"/>
        </w:rPr>
        <w:t>All insider activity since Q1 earnings has been sales — notably a large discretionary sale by CFO John Porter (50,000 shares, ~$3.5M) shortly after Q1 earnings, and a smaller discretionary sale by COO Larry Larsen; the SVP General Counsel's recurring monthly sales are 10b5-1 plan-driven and not informative. No open-market buys on record.</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Name</w:t>
            </w:r>
          </w:p>
        </w:tc>
        <w:tc>
          <w:tcPr>
            <w:tcW w:type="dxa" w:w="1234"/>
            <w:shd w:val="clear" w:color="auto" w:fill="3B4259"/>
          </w:tcPr>
          <w:p>
            <w:r>
              <w:rPr>
                <w:rFonts w:ascii="Calibri" w:hAnsi="Calibri"/>
                <w:b/>
                <w:color w:val="FFFFFF"/>
                <w:sz w:val="22"/>
              </w:rPr>
              <w:t>Title</w:t>
            </w:r>
          </w:p>
        </w:tc>
        <w:tc>
          <w:tcPr>
            <w:tcW w:type="dxa" w:w="1234"/>
            <w:shd w:val="clear" w:color="auto" w:fill="3B4259"/>
          </w:tcPr>
          <w:p>
            <w:r>
              <w:rPr>
                <w:rFonts w:ascii="Calibri" w:hAnsi="Calibri"/>
                <w:b/>
                <w:color w:val="FFFFFF"/>
                <w:sz w:val="22"/>
              </w:rPr>
              <w:t>Transaction Type</w:t>
            </w:r>
          </w:p>
        </w:tc>
        <w:tc>
          <w:tcPr>
            <w:tcW w:type="dxa" w:w="1234"/>
            <w:shd w:val="clear" w:color="auto" w:fill="3B4259"/>
          </w:tcPr>
          <w:p>
            <w:r>
              <w:rPr>
                <w:rFonts w:ascii="Calibri" w:hAnsi="Calibri"/>
                <w:b/>
                <w:color w:val="FFFFFF"/>
                <w:sz w:val="22"/>
              </w:rPr>
              <w:t>Shares</w:t>
            </w:r>
          </w:p>
        </w:tc>
        <w:tc>
          <w:tcPr>
            <w:tcW w:type="dxa" w:w="1234"/>
            <w:shd w:val="clear" w:color="auto" w:fill="3B4259"/>
          </w:tcPr>
          <w:p>
            <w:r>
              <w:rPr>
                <w:rFonts w:ascii="Calibri" w:hAnsi="Calibri"/>
                <w:b/>
                <w:color w:val="FFFFFF"/>
                <w:sz w:val="22"/>
              </w:rPr>
              <w:t>Est. Value</w:t>
            </w:r>
          </w:p>
        </w:tc>
        <w:tc>
          <w:tcPr>
            <w:tcW w:type="dxa" w:w="1234"/>
            <w:shd w:val="clear" w:color="auto" w:fill="3B4259"/>
          </w:tcPr>
          <w:p>
            <w:r>
              <w:rPr>
                <w:rFonts w:ascii="Calibri" w:hAnsi="Calibri"/>
                <w:b/>
                <w:color w:val="FFFFFF"/>
                <w:sz w:val="22"/>
              </w:rPr>
              <w:t>Transaction Date</w:t>
            </w:r>
          </w:p>
        </w:tc>
        <w:tc>
          <w:tcPr>
            <w:tcW w:type="dxa" w:w="1234"/>
            <w:shd w:val="clear" w:color="auto" w:fill="3B4259"/>
          </w:tcPr>
          <w:p>
            <w:r>
              <w:rPr>
                <w:rFonts w:ascii="Calibri" w:hAnsi="Calibri"/>
                <w:b/>
                <w:color w:val="FFFFFF"/>
                <w:sz w:val="22"/>
              </w:rPr>
              <w:t>Note</w:t>
            </w:r>
          </w:p>
        </w:tc>
      </w:tr>
      <w:tr>
        <w:tc>
          <w:tcPr>
            <w:tcW w:type="dxa" w:w="1234"/>
          </w:tcPr>
          <w:p>
            <w:r>
              <w:rPr>
                <w:rFonts w:ascii="Calibri" w:hAnsi="Calibri"/>
                <w:sz w:val="22"/>
              </w:rPr>
              <w:t>Porter, John Dean</w:t>
            </w:r>
          </w:p>
        </w:tc>
        <w:tc>
          <w:tcPr>
            <w:tcW w:type="dxa" w:w="1234"/>
          </w:tcPr>
          <w:p>
            <w:r>
              <w:rPr>
                <w:rFonts w:ascii="Calibri" w:hAnsi="Calibri"/>
                <w:sz w:val="22"/>
              </w:rPr>
              <w:t>EVP &amp; CFO</w:t>
            </w:r>
          </w:p>
        </w:tc>
        <w:tc>
          <w:tcPr>
            <w:tcW w:type="dxa" w:w="1234"/>
          </w:tcPr>
          <w:p>
            <w:r>
              <w:rPr>
                <w:rFonts w:ascii="Calibri" w:hAnsi="Calibri"/>
                <w:sz w:val="22"/>
              </w:rPr>
              <w:t>Open Market Sale</w:t>
            </w:r>
          </w:p>
        </w:tc>
        <w:tc>
          <w:tcPr>
            <w:tcW w:type="dxa" w:w="1234"/>
          </w:tcPr>
          <w:p>
            <w:r>
              <w:rPr>
                <w:rFonts w:ascii="Calibri" w:hAnsi="Calibri"/>
                <w:sz w:val="22"/>
              </w:rPr>
              <w:t>50,000</w:t>
            </w:r>
          </w:p>
        </w:tc>
        <w:tc>
          <w:tcPr>
            <w:tcW w:type="dxa" w:w="1234"/>
          </w:tcPr>
          <w:p>
            <w:r>
              <w:rPr>
                <w:rFonts w:ascii="Calibri" w:hAnsi="Calibri"/>
                <w:sz w:val="22"/>
              </w:rPr>
              <w:t>~$3.65M (at ~$73/sh)</w:t>
            </w:r>
          </w:p>
        </w:tc>
        <w:tc>
          <w:tcPr>
            <w:tcW w:type="dxa" w:w="1234"/>
          </w:tcPr>
          <w:p>
            <w:r>
              <w:rPr>
                <w:rFonts w:ascii="Calibri" w:hAnsi="Calibri"/>
                <w:sz w:val="22"/>
              </w:rPr>
              <w:t>May 6, 2026</w:t>
            </w:r>
          </w:p>
        </w:tc>
        <w:tc>
          <w:tcPr>
            <w:tcW w:type="dxa" w:w="1234"/>
          </w:tcPr>
          <w:p>
            <w:r>
              <w:rPr>
                <w:rFonts w:ascii="Calibri" w:hAnsi="Calibri"/>
                <w:sz w:val="22"/>
              </w:rPr>
              <w:t>Discretionary; no 10b5-1 plan indicated; largest single insider sale in the period; filed May 7</w:t>
            </w:r>
          </w:p>
        </w:tc>
      </w:tr>
      <w:tr>
        <w:tc>
          <w:tcPr>
            <w:tcW w:type="dxa" w:w="1234"/>
          </w:tcPr>
          <w:p>
            <w:r>
              <w:rPr>
                <w:rFonts w:ascii="Calibri" w:hAnsi="Calibri"/>
                <w:sz w:val="22"/>
              </w:rPr>
              <w:t>Larsen, Larry C.</w:t>
            </w:r>
          </w:p>
        </w:tc>
        <w:tc>
          <w:tcPr>
            <w:tcW w:type="dxa" w:w="1234"/>
          </w:tcPr>
          <w:p>
            <w:r>
              <w:rPr>
                <w:rFonts w:ascii="Calibri" w:hAnsi="Calibri"/>
                <w:sz w:val="22"/>
              </w:rPr>
              <w:t>EVP &amp; COO</w:t>
            </w:r>
          </w:p>
        </w:tc>
        <w:tc>
          <w:tcPr>
            <w:tcW w:type="dxa" w:w="1234"/>
          </w:tcPr>
          <w:p>
            <w:r>
              <w:rPr>
                <w:rFonts w:ascii="Calibri" w:hAnsi="Calibri"/>
                <w:sz w:val="22"/>
              </w:rPr>
              <w:t>Open Market Sale</w:t>
            </w:r>
          </w:p>
        </w:tc>
        <w:tc>
          <w:tcPr>
            <w:tcW w:type="dxa" w:w="1234"/>
          </w:tcPr>
          <w:p>
            <w:r>
              <w:rPr>
                <w:rFonts w:ascii="Calibri" w:hAnsi="Calibri"/>
                <w:sz w:val="22"/>
              </w:rPr>
              <w:t>12,000</w:t>
            </w:r>
          </w:p>
        </w:tc>
        <w:tc>
          <w:tcPr>
            <w:tcW w:type="dxa" w:w="1234"/>
          </w:tcPr>
          <w:p>
            <w:r>
              <w:rPr>
                <w:rFonts w:ascii="Calibri" w:hAnsi="Calibri"/>
                <w:sz w:val="22"/>
              </w:rPr>
              <w:t>~$934K (at ~$77.8/sh)</w:t>
            </w:r>
          </w:p>
        </w:tc>
        <w:tc>
          <w:tcPr>
            <w:tcW w:type="dxa" w:w="1234"/>
          </w:tcPr>
          <w:p>
            <w:r>
              <w:rPr>
                <w:rFonts w:ascii="Calibri" w:hAnsi="Calibri"/>
                <w:sz w:val="22"/>
              </w:rPr>
              <w:t>May 14, 2026</w:t>
            </w:r>
          </w:p>
        </w:tc>
        <w:tc>
          <w:tcPr>
            <w:tcW w:type="dxa" w:w="1234"/>
          </w:tcPr>
          <w:p>
            <w:r>
              <w:rPr>
                <w:rFonts w:ascii="Calibri" w:hAnsi="Calibri"/>
                <w:sz w:val="22"/>
              </w:rPr>
              <w:t>Discretionary; no 10b5-1 plan indicated; sold near the post-earnings peak; filed May 15</w:t>
            </w:r>
          </w:p>
        </w:tc>
      </w:tr>
      <w:tr>
        <w:tc>
          <w:tcPr>
            <w:tcW w:type="dxa" w:w="1234"/>
          </w:tcPr>
          <w:p>
            <w:r>
              <w:rPr>
                <w:rFonts w:ascii="Calibri" w:hAnsi="Calibri"/>
                <w:sz w:val="22"/>
              </w:rPr>
              <w:t>Wilson, Terrance Lane</w:t>
            </w:r>
          </w:p>
        </w:tc>
        <w:tc>
          <w:tcPr>
            <w:tcW w:type="dxa" w:w="1234"/>
          </w:tcPr>
          <w:p>
            <w:r>
              <w:rPr>
                <w:rFonts w:ascii="Calibri" w:hAnsi="Calibri"/>
                <w:sz w:val="22"/>
              </w:rPr>
              <w:t>SVP &amp; General Counsel</w:t>
            </w:r>
          </w:p>
        </w:tc>
        <w:tc>
          <w:tcPr>
            <w:tcW w:type="dxa" w:w="1234"/>
          </w:tcPr>
          <w:p>
            <w:r>
              <w:rPr>
                <w:rFonts w:ascii="Calibri" w:hAnsi="Calibri"/>
                <w:sz w:val="22"/>
              </w:rPr>
              <w:t>10b5-1 Planned Sale</w:t>
            </w:r>
          </w:p>
        </w:tc>
        <w:tc>
          <w:tcPr>
            <w:tcW w:type="dxa" w:w="1234"/>
          </w:tcPr>
          <w:p>
            <w:r>
              <w:rPr>
                <w:rFonts w:ascii="Calibri" w:hAnsi="Calibri"/>
                <w:sz w:val="22"/>
              </w:rPr>
              <w:t>2,000</w:t>
            </w:r>
          </w:p>
        </w:tc>
        <w:tc>
          <w:tcPr>
            <w:tcW w:type="dxa" w:w="1234"/>
          </w:tcPr>
          <w:p>
            <w:r>
              <w:rPr>
                <w:rFonts w:ascii="Calibri" w:hAnsi="Calibri"/>
                <w:sz w:val="22"/>
              </w:rPr>
              <w:t>~$143K (at ~$71.5/sh)</w:t>
            </w:r>
          </w:p>
        </w:tc>
        <w:tc>
          <w:tcPr>
            <w:tcW w:type="dxa" w:w="1234"/>
          </w:tcPr>
          <w:p>
            <w:r>
              <w:rPr>
                <w:rFonts w:ascii="Calibri" w:hAnsi="Calibri"/>
                <w:sz w:val="22"/>
              </w:rPr>
              <w:t>May 1, 2026</w:t>
            </w:r>
          </w:p>
        </w:tc>
        <w:tc>
          <w:tcPr>
            <w:tcW w:type="dxa" w:w="1234"/>
          </w:tcPr>
          <w:p>
            <w:r>
              <w:rPr>
                <w:rFonts w:ascii="Calibri" w:hAnsi="Calibri"/>
                <w:sz w:val="22"/>
              </w:rPr>
              <w:t>Pre-planned 10b5-1; recurring monthly pattern; not informative</w:t>
            </w:r>
          </w:p>
        </w:tc>
      </w:tr>
      <w:tr>
        <w:tc>
          <w:tcPr>
            <w:tcW w:type="dxa" w:w="1234"/>
          </w:tcPr>
          <w:p>
            <w:r>
              <w:rPr>
                <w:rFonts w:ascii="Calibri" w:hAnsi="Calibri"/>
                <w:sz w:val="22"/>
              </w:rPr>
              <w:t>Wilson, Terrance Lane</w:t>
            </w:r>
          </w:p>
        </w:tc>
        <w:tc>
          <w:tcPr>
            <w:tcW w:type="dxa" w:w="1234"/>
          </w:tcPr>
          <w:p>
            <w:r>
              <w:rPr>
                <w:rFonts w:ascii="Calibri" w:hAnsi="Calibri"/>
                <w:sz w:val="22"/>
              </w:rPr>
              <w:t>SVP &amp; General Counsel</w:t>
            </w:r>
          </w:p>
        </w:tc>
        <w:tc>
          <w:tcPr>
            <w:tcW w:type="dxa" w:w="1234"/>
          </w:tcPr>
          <w:p>
            <w:r>
              <w:rPr>
                <w:rFonts w:ascii="Calibri" w:hAnsi="Calibri"/>
                <w:sz w:val="22"/>
              </w:rPr>
              <w:t>10b5-1 Planned Sale</w:t>
            </w:r>
          </w:p>
        </w:tc>
        <w:tc>
          <w:tcPr>
            <w:tcW w:type="dxa" w:w="1234"/>
          </w:tcPr>
          <w:p>
            <w:r>
              <w:rPr>
                <w:rFonts w:ascii="Calibri" w:hAnsi="Calibri"/>
                <w:sz w:val="22"/>
              </w:rPr>
              <w:t>2,000</w:t>
            </w:r>
          </w:p>
        </w:tc>
        <w:tc>
          <w:tcPr>
            <w:tcW w:type="dxa" w:w="1234"/>
          </w:tcPr>
          <w:p>
            <w:r>
              <w:rPr>
                <w:rFonts w:ascii="Calibri" w:hAnsi="Calibri"/>
                <w:sz w:val="22"/>
              </w:rPr>
              <w:t>~$143K (at ~$71.6/sh)</w:t>
            </w:r>
          </w:p>
        </w:tc>
        <w:tc>
          <w:tcPr>
            <w:tcW w:type="dxa" w:w="1234"/>
          </w:tcPr>
          <w:p>
            <w:r>
              <w:rPr>
                <w:rFonts w:ascii="Calibri" w:hAnsi="Calibri"/>
                <w:sz w:val="22"/>
              </w:rPr>
              <w:t>Jun 1, 2026</w:t>
            </w:r>
          </w:p>
        </w:tc>
        <w:tc>
          <w:tcPr>
            <w:tcW w:type="dxa" w:w="1234"/>
          </w:tcPr>
          <w:p>
            <w:r>
              <w:rPr>
                <w:rFonts w:ascii="Calibri" w:hAnsi="Calibri"/>
                <w:sz w:val="22"/>
              </w:rPr>
              <w:t>Pre-planned 10b5-1; recurring monthly pattern; not informative</w:t>
            </w:r>
          </w:p>
        </w:tc>
      </w:tr>
      <w:tr>
        <w:tc>
          <w:tcPr>
            <w:tcW w:type="dxa" w:w="1234"/>
          </w:tcPr>
          <w:p>
            <w:r>
              <w:rPr>
                <w:rFonts w:ascii="Calibri" w:hAnsi="Calibri"/>
                <w:sz w:val="22"/>
              </w:rPr>
              <w:t>Wilson, Terrance Lane</w:t>
            </w:r>
          </w:p>
        </w:tc>
        <w:tc>
          <w:tcPr>
            <w:tcW w:type="dxa" w:w="1234"/>
          </w:tcPr>
          <w:p>
            <w:r>
              <w:rPr>
                <w:rFonts w:ascii="Calibri" w:hAnsi="Calibri"/>
                <w:sz w:val="22"/>
              </w:rPr>
              <w:t>SVP &amp; General Counsel</w:t>
            </w:r>
          </w:p>
        </w:tc>
        <w:tc>
          <w:tcPr>
            <w:tcW w:type="dxa" w:w="1234"/>
          </w:tcPr>
          <w:p>
            <w:r>
              <w:rPr>
                <w:rFonts w:ascii="Calibri" w:hAnsi="Calibri"/>
                <w:sz w:val="22"/>
              </w:rPr>
              <w:t>10b5-1 Planned Sale</w:t>
            </w:r>
          </w:p>
        </w:tc>
        <w:tc>
          <w:tcPr>
            <w:tcW w:type="dxa" w:w="1234"/>
          </w:tcPr>
          <w:p>
            <w:r>
              <w:rPr>
                <w:rFonts w:ascii="Calibri" w:hAnsi="Calibri"/>
                <w:sz w:val="22"/>
              </w:rPr>
              <w:t>2,000</w:t>
            </w:r>
          </w:p>
        </w:tc>
        <w:tc>
          <w:tcPr>
            <w:tcW w:type="dxa" w:w="1234"/>
          </w:tcPr>
          <w:p>
            <w:r>
              <w:rPr>
                <w:rFonts w:ascii="Calibri" w:hAnsi="Calibri"/>
                <w:sz w:val="22"/>
              </w:rPr>
              <w:t>~$147K (at ~$73.5/sh)</w:t>
            </w:r>
          </w:p>
        </w:tc>
        <w:tc>
          <w:tcPr>
            <w:tcW w:type="dxa" w:w="1234"/>
          </w:tcPr>
          <w:p>
            <w:r>
              <w:rPr>
                <w:rFonts w:ascii="Calibri" w:hAnsi="Calibri"/>
                <w:sz w:val="22"/>
              </w:rPr>
              <w:t>Jul 1, 2026</w:t>
            </w:r>
          </w:p>
        </w:tc>
        <w:tc>
          <w:tcPr>
            <w:tcW w:type="dxa" w:w="1234"/>
          </w:tcPr>
          <w:p>
            <w:r>
              <w:rPr>
                <w:rFonts w:ascii="Calibri" w:hAnsi="Calibri"/>
                <w:sz w:val="22"/>
              </w:rPr>
              <w:t>Pre-planned 10b5-1; recurring monthly pattern; not informative</w:t>
            </w:r>
          </w:p>
        </w:tc>
      </w:tr>
    </w:tbl>
    <w:p>
      <w:r>
        <w:rPr>
          <w:rFonts w:ascii="Calibri" w:hAnsi="Calibri"/>
          <w:color w:val="525866"/>
          <w:sz w:val="22"/>
        </w:rPr>
        <w:t>The CFO's 50,000-share discretionary sale on May 6 (the day after Q1 earnings) is the most notable transaction — while not necessarily bearish (executives routinely monetize after strong prints), the size and timing warrant monitoring. No open-market buys from any insider since Q1 earnings. The absence of buying ahead of a catalyst-rich period (Blackstone JV, Q2 print) is a mild negative signal, though not alarming given the 10b5-1 plan constraints that limit discretionary activity.</w:t>
      </w:r>
    </w:p>
    <w:p>
      <w:r>
        <w:rPr>
          <w:rFonts w:ascii="Calibri" w:hAnsi="Calibri"/>
          <w:i/>
          <w:color w:val="525866"/>
          <w:sz w:val="22"/>
        </w:rPr>
        <w:t>Source: SEC Form 4 Filings Database.</w:t>
      </w:r>
    </w:p>
    <w:p>
      <w:r>
        <w:br w:type="page"/>
      </w:r>
    </w:p>
    <w:p>
      <w:pPr>
        <w:pStyle w:val="Heading2"/>
      </w:pPr>
      <w:r>
        <w:rPr>
          <w:rFonts w:ascii="Calibri" w:hAnsi="Calibri"/>
          <w:b/>
          <w:color w:val="3B4259"/>
          <w:sz w:val="28"/>
        </w:rPr>
        <w:t>8. Peer Commentary Read-Throughs (Last 60 Days — Q2 2026 Reporting Period Only)</w:t>
      </w:r>
    </w:p>
    <w:p>
      <w:r>
        <w:rPr>
          <w:rFonts w:ascii="Calibri" w:hAnsi="Calibri"/>
          <w:b/>
          <w:color w:val="525866"/>
          <w:sz w:val="22"/>
        </w:rPr>
        <w:t xml:space="preserve">Key Takeaway: </w:t>
      </w:r>
      <w:r>
        <w:rPr>
          <w:rFonts w:ascii="Calibri" w:hAnsi="Calibri"/>
          <w:color w:val="525866"/>
          <w:sz w:val="22"/>
        </w:rPr>
        <w:t>KMI and EPD Q2 2026 earnings calls (both reporting before WMB) deliver a strongly positive read-through across every key WMB demand driver — natural gas transport volumes, LNG export demand, Haynesville production growth, and power/data center demand — with both peers raising or beating guidance. The only cautionary note is KMI flagging emerging compression supply chain lead-time pressures, which WMB will likely face as well.</w:t>
      </w:r>
    </w:p>
    <w:p>
      <w:r>
        <w:rPr>
          <w:rFonts w:ascii="Calibri" w:hAnsi="Calibri"/>
          <w:i/>
          <w:color w:val="525866"/>
          <w:sz w:val="22"/>
        </w:rPr>
        <w:t>Scope: Only commentary from Q2 2026 earnings calls and post-Q1 2026 management commentary is included below. Prior-quarter (Q1 2026) results commentary from peers has been excluded.</w:t>
      </w:r>
    </w:p>
    <w:p>
      <w:pPr>
        <w:pStyle w:val="Heading3"/>
      </w:pPr>
      <w:r>
        <w:rPr>
          <w:rFonts w:ascii="Calibri" w:hAnsi="Calibri"/>
          <w:b/>
          <w:color w:val="3B4259"/>
          <w:sz w:val="24"/>
        </w:rPr>
        <w:t>Kinder Morgan (KMI) — Q2 2026 Earnings Call (July 22, 2026)</w:t>
      </w:r>
    </w:p>
    <w:p>
      <w:r>
        <w:rPr>
          <w:rFonts w:ascii="Calibri" w:hAnsi="Calibri"/>
          <w:b/>
          <w:color w:val="525866"/>
          <w:sz w:val="22"/>
        </w:rPr>
        <w:t xml:space="preserve">Overall Read-Through: </w:t>
      </w:r>
      <w:r>
        <w:rPr>
          <w:rFonts w:ascii="Calibri" w:hAnsi="Calibri"/>
          <w:b/>
          <w:color w:val="30A46C"/>
          <w:sz w:val="22"/>
        </w:rPr>
        <w:t>Strongly Positive</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Theme</w:t>
            </w:r>
          </w:p>
        </w:tc>
        <w:tc>
          <w:tcPr>
            <w:tcW w:type="dxa" w:w="2160"/>
            <w:shd w:val="clear" w:color="auto" w:fill="3B4259"/>
          </w:tcPr>
          <w:p>
            <w:r>
              <w:rPr>
                <w:rFonts w:ascii="Calibri" w:hAnsi="Calibri"/>
                <w:b/>
                <w:color w:val="FFFFFF"/>
                <w:sz w:val="22"/>
              </w:rPr>
              <w:t>KMI Commentary (Q2 2026)</w:t>
            </w:r>
          </w:p>
        </w:tc>
        <w:tc>
          <w:tcPr>
            <w:tcW w:type="dxa" w:w="2160"/>
            <w:shd w:val="clear" w:color="auto" w:fill="3B4259"/>
          </w:tcPr>
          <w:p>
            <w:r>
              <w:rPr>
                <w:rFonts w:ascii="Calibri" w:hAnsi="Calibri"/>
                <w:b/>
                <w:color w:val="FFFFFF"/>
                <w:sz w:val="22"/>
              </w:rPr>
              <w:t>WMB Read-Through</w:t>
            </w:r>
          </w:p>
        </w:tc>
        <w:tc>
          <w:tcPr>
            <w:tcW w:type="dxa" w:w="2160"/>
            <w:shd w:val="clear" w:color="auto" w:fill="3B4259"/>
          </w:tcPr>
          <w:p>
            <w:r>
              <w:rPr>
                <w:rFonts w:ascii="Calibri" w:hAnsi="Calibri"/>
                <w:b/>
                <w:color w:val="FFFFFF"/>
                <w:sz w:val="22"/>
              </w:rPr>
              <w:t>Signal</w:t>
            </w:r>
          </w:p>
        </w:tc>
      </w:tr>
      <w:tr>
        <w:tc>
          <w:tcPr>
            <w:tcW w:type="dxa" w:w="2160"/>
          </w:tcPr>
          <w:p>
            <w:r>
              <w:rPr>
                <w:rFonts w:ascii="Calibri" w:hAnsi="Calibri"/>
                <w:sz w:val="22"/>
              </w:rPr>
              <w:t>Natural Gas Transport Volumes</w:t>
            </w:r>
          </w:p>
        </w:tc>
        <w:tc>
          <w:tcPr>
            <w:tcW w:type="dxa" w:w="2160"/>
          </w:tcPr>
          <w:p>
            <w:r>
              <w:rPr>
                <w:rFonts w:ascii="Calibri" w:hAnsi="Calibri"/>
                <w:sz w:val="22"/>
              </w:rPr>
              <w:t>Transport volumes +7% YoY in Q2 2026, driven by increased LNG feed gas on Tennessee Gas Pipeline, higher intrastate demand, greater power demand on El Paso, and increased Mexico exports. "Demand for gas on our pipes remains high and our system remains highly utilized."</w:t>
            </w:r>
          </w:p>
        </w:tc>
        <w:tc>
          <w:tcPr>
            <w:tcW w:type="dxa" w:w="2160"/>
          </w:tcPr>
          <w:p>
            <w:r>
              <w:rPr>
                <w:rFonts w:ascii="Calibri" w:hAnsi="Calibri"/>
                <w:sz w:val="22"/>
              </w:rPr>
              <w:t>Directly positive for WMB's Transmission &amp; Gulf segment (Transco). Confirms robust underlying market demand across LNG, power, and export channels — all key WMB growth vectors.</w:t>
            </w:r>
          </w:p>
        </w:tc>
        <w:tc>
          <w:tcPr>
            <w:tcW w:type="dxa" w:w="2160"/>
          </w:tcPr>
          <w:p>
            <w:r>
              <w:rPr>
                <w:rFonts w:ascii="Calibri" w:hAnsi="Calibri"/>
                <w:b/>
                <w:color w:val="30A46C"/>
                <w:sz w:val="22"/>
              </w:rPr>
              <w:t>Positive</w:t>
            </w:r>
          </w:p>
        </w:tc>
      </w:tr>
      <w:tr>
        <w:tc>
          <w:tcPr>
            <w:tcW w:type="dxa" w:w="2160"/>
          </w:tcPr>
          <w:p>
            <w:r>
              <w:rPr>
                <w:rFonts w:ascii="Calibri" w:hAnsi="Calibri"/>
                <w:sz w:val="22"/>
              </w:rPr>
              <w:t>LNG Export Demand</w:t>
            </w:r>
          </w:p>
        </w:tc>
        <w:tc>
          <w:tcPr>
            <w:tcW w:type="dxa" w:w="2160"/>
          </w:tcPr>
          <w:p>
            <w:r>
              <w:rPr>
                <w:rFonts w:ascii="Calibri" w:hAnsi="Calibri"/>
                <w:sz w:val="22"/>
              </w:rPr>
              <w:t>"The natural gas growth story remains very positive as demand for LNG export volumes and gas for electric generation continues to grow." Three largest expansion projects (Mississippi Crossing, South System 4, Trident) progressing on schedule and on budget, supporting growing LNG exports. Wood Mackenzie projects US gas demand to exceed 160 Bcf/d by 2035, with LNG as primary driver.</w:t>
            </w:r>
          </w:p>
        </w:tc>
        <w:tc>
          <w:tcPr>
            <w:tcW w:type="dxa" w:w="2160"/>
          </w:tcPr>
          <w:p>
            <w:r>
              <w:rPr>
                <w:rFonts w:ascii="Calibri" w:hAnsi="Calibri"/>
                <w:sz w:val="22"/>
              </w:rPr>
              <w:t>Confirms sustained LNG demand pull through WMB's Gulf Coast infrastructure and Woodside partnership (2029 first cargo). Long-term demand visibility supports WMB's contracted backlog and 10%+ CAGR target.</w:t>
            </w:r>
          </w:p>
        </w:tc>
        <w:tc>
          <w:tcPr>
            <w:tcW w:type="dxa" w:w="2160"/>
          </w:tcPr>
          <w:p>
            <w:r>
              <w:rPr>
                <w:rFonts w:ascii="Calibri" w:hAnsi="Calibri"/>
                <w:b/>
                <w:color w:val="30A46C"/>
                <w:sz w:val="22"/>
              </w:rPr>
              <w:t>Positive</w:t>
            </w:r>
          </w:p>
        </w:tc>
      </w:tr>
      <w:tr>
        <w:tc>
          <w:tcPr>
            <w:tcW w:type="dxa" w:w="2160"/>
          </w:tcPr>
          <w:p>
            <w:r>
              <w:rPr>
                <w:rFonts w:ascii="Calibri" w:hAnsi="Calibri"/>
                <w:sz w:val="22"/>
              </w:rPr>
              <w:t>Power / Data Center Demand</w:t>
            </w:r>
          </w:p>
        </w:tc>
        <w:tc>
          <w:tcPr>
            <w:tcW w:type="dxa" w:w="2160"/>
          </w:tcPr>
          <w:p>
            <w:r>
              <w:rPr>
                <w:rFonts w:ascii="Calibri" w:hAnsi="Calibri"/>
                <w:sz w:val="22"/>
              </w:rPr>
              <w:t>KMI developing projects to serve &gt;10 Bcf/d in power generation sector. "Power corridor forming" in TN/OH/WV/KY four-state region. Georgia Power filed report showing &gt;75 GW of potential power demand through mid-2030s from one utility in one state. Permian data center and organic power growth driving 765 kV line development.</w:t>
            </w:r>
          </w:p>
        </w:tc>
        <w:tc>
          <w:tcPr>
            <w:tcW w:type="dxa" w:w="2160"/>
          </w:tcPr>
          <w:p>
            <w:r>
              <w:rPr>
                <w:rFonts w:ascii="Calibri" w:hAnsi="Calibri"/>
                <w:sz w:val="22"/>
              </w:rPr>
              <w:t>Very strong positive for WMB's Power Innovation strategy. The four-state corridor overlaps with WMB's Transco and Aristotle pipeline footprint. Validates the scale of behind-the-meter opportunity WMB is pursuing with Socrates, Apollo, Aquila, Neo, and Socrates the Younger.</w:t>
            </w:r>
          </w:p>
        </w:tc>
        <w:tc>
          <w:tcPr>
            <w:tcW w:type="dxa" w:w="2160"/>
          </w:tcPr>
          <w:p>
            <w:r>
              <w:rPr>
                <w:rFonts w:ascii="Calibri" w:hAnsi="Calibri"/>
                <w:b/>
                <w:color w:val="30A46C"/>
                <w:sz w:val="22"/>
              </w:rPr>
              <w:t>Positive</w:t>
            </w:r>
          </w:p>
        </w:tc>
      </w:tr>
      <w:tr>
        <w:tc>
          <w:tcPr>
            <w:tcW w:type="dxa" w:w="2160"/>
          </w:tcPr>
          <w:p>
            <w:r>
              <w:rPr>
                <w:rFonts w:ascii="Calibri" w:hAnsi="Calibri"/>
                <w:sz w:val="22"/>
              </w:rPr>
              <w:t>Haynesville Production</w:t>
            </w:r>
          </w:p>
        </w:tc>
        <w:tc>
          <w:tcPr>
            <w:tcW w:type="dxa" w:w="2160"/>
          </w:tcPr>
          <w:p>
            <w:r>
              <w:rPr>
                <w:rFonts w:ascii="Calibri" w:hAnsi="Calibri"/>
                <w:sz w:val="22"/>
              </w:rPr>
              <w:t>KMI Haynesville (Kinderhook system) volumes +54% YoY in Q2 2026; averaged 1.9 Bcf/d, reaching &gt;2 Bcf/d during the quarter. Completing $500M investment to add another 1 Bcf of processing capacity (on time/budget). Largest customers hedged, making volumes "price insensitive." Expects "significant growth coming out of the Haynesville between 2025 and 2030" (10 Bcf/d on KMI's own numbers).</w:t>
            </w:r>
          </w:p>
        </w:tc>
        <w:tc>
          <w:tcPr>
            <w:tcW w:type="dxa" w:w="2160"/>
          </w:tcPr>
          <w:p>
            <w:r>
              <w:rPr>
                <w:rFonts w:ascii="Calibri" w:hAnsi="Calibri"/>
                <w:sz w:val="22"/>
              </w:rPr>
              <w:t>Directly positive for WMB's Haynesville gathering/processing assets and Gulf Coast transmission. Hedged producer volumes reduce WMB's volume risk. Confirms the LNG demand pull thesis that underpins WMB's Haynesville expansion investment.</w:t>
            </w:r>
          </w:p>
        </w:tc>
        <w:tc>
          <w:tcPr>
            <w:tcW w:type="dxa" w:w="2160"/>
          </w:tcPr>
          <w:p>
            <w:r>
              <w:rPr>
                <w:rFonts w:ascii="Calibri" w:hAnsi="Calibri"/>
                <w:b/>
                <w:color w:val="30A46C"/>
                <w:sz w:val="22"/>
              </w:rPr>
              <w:t>Positive</w:t>
            </w:r>
          </w:p>
        </w:tc>
      </w:tr>
      <w:tr>
        <w:tc>
          <w:tcPr>
            <w:tcW w:type="dxa" w:w="2160"/>
          </w:tcPr>
          <w:p>
            <w:r>
              <w:rPr>
                <w:rFonts w:ascii="Calibri" w:hAnsi="Calibri"/>
                <w:sz w:val="22"/>
              </w:rPr>
              <w:t>Project Execution &amp; CapEx</w:t>
            </w:r>
          </w:p>
        </w:tc>
        <w:tc>
          <w:tcPr>
            <w:tcW w:type="dxa" w:w="2160"/>
          </w:tcPr>
          <w:p>
            <w:r>
              <w:rPr>
                <w:rFonts w:ascii="Calibri" w:hAnsi="Calibri"/>
                <w:sz w:val="22"/>
              </w:rPr>
              <w:t>Three largest projects progressing on schedule and on budget. Expects to FID "very substantial additional CapEx projects" in H2 2026. $10B+ opportunity set continues to grow despite sanctioning. However, "starting to see pressures on some of the timelines" for compression supply chain; managing through relationships and factoring into project economics.</w:t>
            </w:r>
          </w:p>
        </w:tc>
        <w:tc>
          <w:tcPr>
            <w:tcW w:type="dxa" w:w="2160"/>
          </w:tcPr>
          <w:p>
            <w:r>
              <w:rPr>
                <w:rFonts w:ascii="Calibri" w:hAnsi="Calibri"/>
                <w:sz w:val="22"/>
              </w:rPr>
              <w:t>Broadly positive for sector project execution environment. Compression supply chain pressure is a watch item for WMB's Power Innovation project timelines (Socrates partial startup Q3 2026 is the near-term test).</w:t>
            </w:r>
          </w:p>
        </w:tc>
        <w:tc>
          <w:tcPr>
            <w:tcW w:type="dxa" w:w="2160"/>
          </w:tcPr>
          <w:p>
            <w:r>
              <w:rPr>
                <w:rFonts w:ascii="Calibri" w:hAnsi="Calibri"/>
                <w:b/>
                <w:sz w:val="22"/>
              </w:rPr>
              <w:t>Mixed</w:t>
            </w:r>
          </w:p>
        </w:tc>
      </w:tr>
      <w:tr>
        <w:tc>
          <w:tcPr>
            <w:tcW w:type="dxa" w:w="2160"/>
          </w:tcPr>
          <w:p>
            <w:r>
              <w:rPr>
                <w:rFonts w:ascii="Calibri" w:hAnsi="Calibri"/>
                <w:sz w:val="22"/>
              </w:rPr>
              <w:t>Full-Year Guidance</w:t>
            </w:r>
          </w:p>
        </w:tc>
        <w:tc>
          <w:tcPr>
            <w:tcW w:type="dxa" w:w="2160"/>
          </w:tcPr>
          <w:p>
            <w:r>
              <w:rPr>
                <w:rFonts w:ascii="Calibri" w:hAnsi="Calibri"/>
                <w:sz w:val="22"/>
              </w:rPr>
              <w:t>KMI raised FY 2026 guidance: Adj. EBITDA now expected at least 5% above 2026 budget; Adj. EPS at least 12% above original budget. Taking "a little more conservative guide for H2" due to non-recurring Q1 items and commodity price uncertainty.</w:t>
            </w:r>
          </w:p>
        </w:tc>
        <w:tc>
          <w:tcPr>
            <w:tcW w:type="dxa" w:w="2160"/>
          </w:tcPr>
          <w:p>
            <w:r>
              <w:rPr>
                <w:rFonts w:ascii="Calibri" w:hAnsi="Calibri"/>
                <w:sz w:val="22"/>
              </w:rPr>
              <w:t>Positive read-through — KMI's guidance raise confirms a favorable midstream operating environment. Conservative H2 framing is a mild caution but does not undermine WMB's own upper-half EBITDA guidance.</w:t>
            </w:r>
          </w:p>
        </w:tc>
        <w:tc>
          <w:tcPr>
            <w:tcW w:type="dxa" w:w="2160"/>
          </w:tcPr>
          <w:p>
            <w:r>
              <w:rPr>
                <w:rFonts w:ascii="Calibri" w:hAnsi="Calibri"/>
                <w:b/>
                <w:color w:val="30A46C"/>
                <w:sz w:val="22"/>
              </w:rPr>
              <w:t>Positive</w:t>
            </w:r>
          </w:p>
        </w:tc>
      </w:tr>
    </w:tbl>
    <w:p>
      <w:pPr>
        <w:pStyle w:val="Heading3"/>
      </w:pPr>
      <w:r>
        <w:rPr>
          <w:rFonts w:ascii="Calibri" w:hAnsi="Calibri"/>
          <w:b/>
          <w:color w:val="3B4259"/>
          <w:sz w:val="24"/>
        </w:rPr>
        <w:t>Baker Hughes (BKR) — Q2 2026 Earnings (July 27, 2026) — LNG Infrastructure Read-Through</w:t>
      </w:r>
    </w:p>
    <w:p>
      <w:r>
        <w:rPr>
          <w:rFonts w:ascii="Calibri" w:hAnsi="Calibri"/>
          <w:b/>
          <w:color w:val="525866"/>
          <w:sz w:val="22"/>
        </w:rPr>
        <w:t xml:space="preserve">Overall Read-Through: </w:t>
      </w:r>
      <w:r>
        <w:rPr>
          <w:rFonts w:ascii="Calibri" w:hAnsi="Calibri"/>
          <w:b/>
          <w:color w:val="30A46C"/>
          <w:sz w:val="22"/>
        </w:rPr>
        <w:t>Positive (LNG-specific)</w:t>
      </w:r>
    </w:p>
    <w:p>
      <w:pPr>
        <w:pStyle w:val="ListBullet"/>
        <w:ind w:left="360" w:hanging="360"/>
      </w:pPr>
      <w:r>
        <w:rPr>
          <w:rFonts w:ascii="Calibri" w:hAnsi="Calibri"/>
          <w:b/>
          <w:color w:val="525866"/>
          <w:sz w:val="22"/>
        </w:rPr>
        <w:t>IET orders of $7.1B vs. $3.6B consensus (1.57x book-to-bill)</w:t>
      </w:r>
      <w:r>
        <w:rPr>
          <w:rFonts w:ascii="Calibri" w:hAnsi="Calibri"/>
          <w:color w:val="525866"/>
          <w:sz w:val="22"/>
        </w:rPr>
        <w:t xml:space="preserve"> — including a major order from Venture Global for 12 LNG trains for the CP2 expansion. BKR raised full-year IET order guidance and expects to expand gas turbine/generator capacity to support ~$5B in annual power systems revenue by 2029.</w:t>
      </w:r>
    </w:p>
    <w:p>
      <w:pPr>
        <w:pStyle w:val="ListBullet"/>
        <w:ind w:left="360" w:hanging="360"/>
      </w:pPr>
      <w:r>
        <w:rPr>
          <w:rFonts w:ascii="Calibri" w:hAnsi="Calibri"/>
          <w:b/>
          <w:color w:val="525866"/>
          <w:sz w:val="22"/>
        </w:rPr>
        <w:t>WMB Read-Through:</w:t>
      </w:r>
      <w:r>
        <w:rPr>
          <w:rFonts w:ascii="Calibri" w:hAnsi="Calibri"/>
          <w:color w:val="525866"/>
          <w:sz w:val="22"/>
        </w:rPr>
        <w:t xml:space="preserve"> Confirms accelerating LNG infrastructure buildout (Venture Global CP2 is a major Gulf Coast project) that will drive incremental natural gas demand through WMB's Transco and Gulf Coast gathering assets. BKR's power systems revenue opportunity also validates the scale of the gas-to-power market WMB is targeting with its Power Innovation projects.</w:t>
      </w:r>
    </w:p>
    <w:p>
      <w:pPr>
        <w:pStyle w:val="Heading3"/>
      </w:pPr>
      <w:r>
        <w:rPr>
          <w:rFonts w:ascii="Calibri" w:hAnsi="Calibri"/>
          <w:b/>
          <w:color w:val="3B4259"/>
          <w:sz w:val="24"/>
        </w:rPr>
        <w:t>EQT Corporation (EQT) — Q2 2026 Earnings (July 21, 2026) — Appalachian Gas Pricing Caution</w:t>
      </w:r>
    </w:p>
    <w:p>
      <w:r>
        <w:rPr>
          <w:rFonts w:ascii="Calibri" w:hAnsi="Calibri"/>
          <w:b/>
          <w:color w:val="525866"/>
          <w:sz w:val="22"/>
        </w:rPr>
        <w:t xml:space="preserve">Overall Read-Through: </w:t>
      </w:r>
      <w:r>
        <w:rPr>
          <w:rFonts w:ascii="Calibri" w:hAnsi="Calibri"/>
          <w:b/>
          <w:color w:val="525866"/>
          <w:sz w:val="22"/>
        </w:rPr>
        <w:t>Neutral / Mild Caution</w:t>
      </w:r>
    </w:p>
    <w:p>
      <w:pPr>
        <w:pStyle w:val="ListBullet"/>
        <w:ind w:left="360" w:hanging="360"/>
      </w:pPr>
      <w:r>
        <w:rPr>
          <w:rFonts w:ascii="Calibri" w:hAnsi="Calibri"/>
          <w:b/>
          <w:color w:val="525866"/>
          <w:sz w:val="22"/>
        </w:rPr>
        <w:t>EQT missed Q2 2026 consensus (Adj. EPS $0.39 vs. $0.40 est.)</w:t>
      </w:r>
      <w:r>
        <w:rPr>
          <w:rFonts w:ascii="Calibri" w:hAnsi="Calibri"/>
          <w:color w:val="525866"/>
          <w:sz w:val="22"/>
        </w:rPr>
        <w:t xml:space="preserve"> due to weaker natural gas prices. Henry Hub averaged $3.02/MMBtu in Q2, down 17.5% YoY. "Record domestic output, comfortable storage levels and limited LNG export capacity insulated the U.S. market from global supply shocks."</w:t>
      </w:r>
    </w:p>
    <w:p>
      <w:pPr>
        <w:pStyle w:val="ListBullet"/>
        <w:ind w:left="360" w:hanging="360"/>
      </w:pPr>
      <w:r>
        <w:rPr>
          <w:rFonts w:ascii="Calibri" w:hAnsi="Calibri"/>
          <w:b/>
          <w:color w:val="525866"/>
          <w:sz w:val="22"/>
        </w:rPr>
        <w:t>WMB Read-Through:</w:t>
      </w:r>
      <w:r>
        <w:rPr>
          <w:rFonts w:ascii="Calibri" w:hAnsi="Calibri"/>
          <w:color w:val="525866"/>
          <w:sz w:val="22"/>
        </w:rPr>
        <w:t xml:space="preserve"> Mild caution for WMB's Northeast G&amp;P segment (commodity-linked revenues). However, WMB's fee-based contract structure limits direct commodity price exposure. The "limited LNG export capacity" comment is a near-term constraint that WMB's own LNG-connected infrastructure (Woodside, Power Express) is positioned to address post-2029.</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