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tw-earnings-predictions--2026-07-30"/>
    <w:p>
      <w:pPr>
        <w:pStyle w:val="Heading1"/>
      </w:pPr>
      <w:r>
        <w:t xml:space="preserve">WTW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~$3.25 vs. cons $3.13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organic revenue growth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~4.3% vs. cons ~4.8%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Risk &amp; Broking (R&amp;B) organic growth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~4% vs. cons ~5%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enterprise organic revenue growth guide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~mid-single-digit (4-6%) vs. cons ~5%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adjusted EPS guide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~$19.5+ vs. cons $19.54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adjusted operating margin expansion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~+100bps R&amp;B avg vs. cons ~+80-100bps (FY2026)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share repurchase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&gt;=</w:t>
            </w:r>
            <m:oMath>
              <m:r>
                <m:t>1.0</m:t>
              </m:r>
              <m:r>
                <m:t>B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1.0B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-2.5%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-3.5% (FADE)</w:t>
            </w:r>
          </w:p>
        </w:tc>
        <w:tc>
          <w:tcPr/>
          <w:p>
            <w:pPr>
              <w:pStyle w:val="Compact"/>
            </w:pPr>
            <w:r>
              <w:t xml:space="preserve">Stock ran ~+7% idiosyncratically into the print (from ~$295 on 7/24 to $317 on 7/29), fully round-tripping the Q1 drawdown, so the bar is high. Base case is an EPS beat (FX + cost/AI + 4-qtr beat streak) but a soft top line: R&amp;B organic likely still shy of the mid-single-digit 'normalized' claim amid softening P&amp;C pricing and lingering Middle East/discretionary caution. A revenue-line disappointment with at-best-reaffirmed (not raised) organic guide triggers 'sell-the-news' unwind of the pre-earnings pop; out-period math (implicit trims to organic even on an EPS beat) pulls estimates and the multiple down, so the initial fade continues over the week.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2026-07-29T18:19:41Z</dcterms:created>
  <dcterms:modified xsi:type="dcterms:W3CDTF">2026-07-29T18:19:41Z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