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I'll research WTW (Willis Towers Watson) before writing the earnings preview. Let me gather recent filings, transcripts, and news.Let me read the most recent quarter's transcript and release, plus prior-year Q2 for comparison.Let me get the prior-year Q2 comparable and recent stock price data.Let me get recent news and analyst estimates via web search.The web_search returned a different structure. Let me fix and retry.I have what I need. Here's the earnings preview.</w:t>
      </w:r>
    </w:p>
    <w:p>
      <w:r>
        <w:pict>
          <v:rect style="width:0;height:1.5pt" o:hralign="center" o:hrstd="t" o:hr="t"/>
        </w:pict>
      </w:r>
    </w:p>
    <w:bookmarkStart w:id="15" w:name="Xd72db09c05c54142ff20345597b90af9fb8d253"/>
    <w:p>
      <w:pPr>
        <w:pStyle w:val="Heading1"/>
      </w:pPr>
      <w:r>
        <w:t xml:space="preserve">WTW (Willis Towers Watson) — Q2 2026 Earnings Preview</w:t>
      </w:r>
    </w:p>
    <w:p>
      <w:pPr>
        <w:pStyle w:val="FirstParagraph"/>
      </w:pPr>
      <w:r>
        <w:rPr>
          <w:b/>
          <w:bCs/>
        </w:rPr>
        <w:t xml:space="preserve">Reports:</w:t>
      </w:r>
      <w:r>
        <w:t xml:space="preserve"> </w:t>
      </w:r>
      <w:r>
        <w:t xml:space="preserve">Thursday, July 30, 2026 (pre-market) · Q2 FY2026 (quarter ended June 30) · Conference call 9:00 a.m. ET</w:t>
      </w:r>
    </w:p>
    <w:bookmarkStart w:id="9" w:name="the-one-line-setup"/>
    <w:p>
      <w:pPr>
        <w:pStyle w:val="Heading2"/>
      </w:pPr>
      <w:r>
        <w:t xml:space="preserve">The one-line setup</w:t>
      </w:r>
    </w:p>
    <w:p>
      <w:pPr>
        <w:pStyle w:val="FirstParagraph"/>
      </w:pPr>
      <w:r>
        <w:t xml:space="preserve">WTW enters this print needing to prove that the Q1 stumble was a timing/geopolitical blip rather than a structural slowdown. Management explicitly told investors that growth "returned to normalized" (mid-single-digit or better) in April — Q2 is the first hard checkpoint on that claim, and the stock's recent recovery suggests expectations have crept back up.</w:t>
      </w:r>
    </w:p>
    <w:p>
      <w:r>
        <w:pict>
          <v:rect style="width:0;height:1.5pt" o:hralign="center" o:hrstd="t" o:hr="t"/>
        </w:pict>
      </w:r>
    </w:p>
    <w:bookmarkEnd w:id="9"/>
    <w:bookmarkStart w:id="10" w:name="X2d028603ee6d8ca9197d344297be339a10fc46d"/>
    <w:p>
      <w:pPr>
        <w:pStyle w:val="Heading2"/>
      </w:pPr>
      <w:r>
        <w:t xml:space="preserve">What happened last quarter (Q1 2026) — why it matters</w:t>
      </w:r>
    </w:p>
    <w:p>
      <w:pPr>
        <w:pStyle w:val="FirstParagraph"/>
      </w:pPr>
      <w:r>
        <w:t xml:space="preserve">Q1 was a disappointment that reset the narrative: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Organic revenue grew just 3%</w:t>
      </w:r>
      <w:r>
        <w:t xml:space="preserve">, at the low end of plan, hit by Middle East project deferrals, discretionary-spend caution, and tough comps.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R&amp;B organic was only +2% (≈+1% ex-book-of-business/interest income)</w:t>
      </w:r>
      <w:r>
        <w:t xml:space="preserve"> </w:t>
      </w:r>
      <w:r>
        <w:t xml:space="preserve">against a 9% core comp, driven by a</w:t>
      </w:r>
      <w:r>
        <w:t xml:space="preserve"> </w:t>
      </w:r>
      <w:r>
        <w:rPr>
          <w:b/>
          <w:bCs/>
        </w:rPr>
        <w:t xml:space="preserve">new-business miss</w:t>
      </w:r>
      <w:r>
        <w:t xml:space="preserve"> </w:t>
      </w:r>
      <w:r>
        <w:t xml:space="preserve">("some of which timed into future quarters") plus a</w:t>
      </w:r>
      <w:r>
        <w:t xml:space="preserve"> </w:t>
      </w:r>
      <w:r>
        <w:rPr>
          <w:b/>
          <w:bCs/>
        </w:rPr>
        <w:t xml:space="preserve">more competitive P&amp;C pricing environment.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HWC +3%</w:t>
      </w:r>
      <w:r>
        <w:t xml:space="preserve">, with</w:t>
      </w:r>
      <w:r>
        <w:t xml:space="preserve"> </w:t>
      </w:r>
      <w:r>
        <w:rPr>
          <w:b/>
          <w:bCs/>
        </w:rPr>
        <w:t xml:space="preserve">Career actually declining 3%</w:t>
      </w:r>
      <w:r>
        <w:t xml:space="preserve"> </w:t>
      </w:r>
      <w:r>
        <w:t xml:space="preserve">on Middle East disruption.</w:t>
      </w:r>
    </w:p>
    <w:p>
      <w:pPr>
        <w:pStyle w:val="Compact"/>
        <w:numPr>
          <w:ilvl w:val="0"/>
          <w:numId w:val="1001"/>
        </w:numPr>
      </w:pPr>
      <w:r>
        <w:t xml:space="preserve">Management</w:t>
      </w:r>
      <w:r>
        <w:t xml:space="preserve"> </w:t>
      </w:r>
      <w:r>
        <w:rPr>
          <w:b/>
          <w:bCs/>
        </w:rPr>
        <w:t xml:space="preserve">narrowed full-year R&amp;B and CRB guidance to mid-single-digit</w:t>
      </w:r>
      <w:r>
        <w:t xml:space="preserve"> </w:t>
      </w:r>
      <w:r>
        <w:t xml:space="preserve">(walking back an implied path toward high-single-digit in Q4) and</w:t>
      </w:r>
      <w:r>
        <w:t xml:space="preserve"> </w:t>
      </w:r>
      <w:r>
        <w:rPr>
          <w:b/>
          <w:bCs/>
        </w:rPr>
        <w:t xml:space="preserve">widened Career to low-to-mid single-digit.</w:t>
      </w:r>
    </w:p>
    <w:p>
      <w:pPr>
        <w:pStyle w:val="FirstParagraph"/>
      </w:pPr>
      <w:r>
        <w:t xml:space="preserve">The market reaction was severe:</w:t>
      </w:r>
      <w:r>
        <w:t xml:space="preserve"> </w:t>
      </w:r>
      <w:r>
        <w:rPr>
          <w:b/>
          <w:bCs/>
        </w:rPr>
        <w:t xml:space="preserve">WTW fell ~12% the day of the Q1 report (April 30, from ~</w:t>
      </w:r>
      <m:oMath>
        <m:r>
          <m:t>290</m:t>
        </m:r>
        <m:r>
          <m:t>t</m:t>
        </m:r>
        <m:r>
          <m:t>o</m:t>
        </m:r>
        <m:r>
          <m:t> </m:t>
        </m:r>
      </m:oMath>
      <w:r>
        <w:rPr>
          <w:b/>
          <w:bCs/>
        </w:rPr>
        <w:t xml:space="preserve">256)</w:t>
      </w:r>
      <w:r>
        <w:t xml:space="preserve"> </w:t>
      </w:r>
      <w:r>
        <w:t xml:space="preserve">and bottomed near</w:t>
      </w:r>
      <w:r>
        <w:t xml:space="preserve"> </w:t>
      </w:r>
      <m:oMath>
        <m:r>
          <m:t>242</m:t>
        </m:r>
        <m:r>
          <m:t>i</m:t>
        </m:r>
        <m:r>
          <m:t>n</m:t>
        </m:r>
        <m:r>
          <m:t>m</m:t>
        </m:r>
        <m:r>
          <m:t>i</m:t>
        </m:r>
        <m:r>
          <m:t>d</m:t>
        </m:r>
        <m:r>
          <m:rPr>
            <m:sty m:val="p"/>
          </m:rPr>
          <m:t>−</m:t>
        </m:r>
        <m:r>
          <m:t>M</m:t>
        </m:r>
        <m:r>
          <m:t>a</m:t>
        </m:r>
        <m:r>
          <m:t>y</m:t>
        </m:r>
        <m:r>
          <m:rPr>
            <m:sty m:val="p"/>
          </m:rPr>
          <m:t>.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I</m:t>
        </m:r>
        <m:r>
          <m:t>t</m:t>
        </m:r>
        <m:r>
          <m:t>h</m:t>
        </m:r>
        <m:r>
          <m:t>a</m:t>
        </m:r>
        <m:r>
          <m:t>s</m:t>
        </m:r>
        <m:r>
          <m:t>s</m:t>
        </m:r>
        <m:r>
          <m:t>i</m:t>
        </m:r>
        <m:r>
          <m:t>n</m:t>
        </m:r>
        <m:r>
          <m:t>c</m:t>
        </m:r>
        <m:r>
          <m:t>e</m:t>
        </m:r>
        <m:r>
          <m:t>r</m:t>
        </m:r>
        <m:r>
          <m:t>e</m:t>
        </m:r>
        <m:r>
          <m:t>c</m:t>
        </m:r>
        <m:r>
          <m:t>o</m:t>
        </m:r>
        <m:r>
          <m:t>v</m:t>
        </m:r>
        <m:r>
          <m:t>e</m:t>
        </m:r>
        <m:r>
          <m:t>r</m:t>
        </m:r>
        <m:r>
          <m:t>e</m:t>
        </m:r>
        <m:r>
          <m:t>d</m:t>
        </m:r>
        <m:r>
          <m:t>t</m:t>
        </m:r>
        <m:r>
          <m:t>o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 </m:t>
        </m:r>
      </m:oMath>
      <w:r>
        <w:rPr>
          <w:b/>
          <w:bCs/>
        </w:rPr>
        <w:t xml:space="preserve">317</w:t>
      </w:r>
      <w:r>
        <w:t xml:space="preserve"> </w:t>
      </w:r>
      <w:r>
        <w:t xml:space="preserve">as of July 29 — essentially round-trips the whole drawdown. That recovery matters because it means the bar has effectively reset higher going into Q2; a second consecutive soft organic number would be punished.</w:t>
      </w:r>
    </w:p>
    <w:p>
      <w:pPr>
        <w:pStyle w:val="BodyText"/>
      </w:pPr>
      <w:r>
        <w:t xml:space="preserve">Importantly, the "quality" of Q1 was still good:</w:t>
      </w:r>
      <w:r>
        <w:t xml:space="preserve"> </w:t>
      </w:r>
      <w:r>
        <w:rPr>
          <w:b/>
          <w:bCs/>
        </w:rPr>
        <w:t xml:space="preserve">adjusted operating margin expanded 70 bps to 22.3%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adjusted EPS rose 19% to $3.72</w:t>
      </w:r>
      <w:r>
        <w:t xml:space="preserve">, aided by FX and cost discipline. WTW has been an "earnings/margin beats, revenue misses" story — this quarter the debate is squarely on the top line.</w:t>
      </w:r>
    </w:p>
    <w:p>
      <w:r>
        <w:pict>
          <v:rect style="width:0;height:1.5pt" o:hralign="center" o:hrstd="t" o:hr="t"/>
        </w:pict>
      </w:r>
    </w:p>
    <w:bookmarkEnd w:id="10"/>
    <w:bookmarkStart w:id="11" w:name="the-numbers-to-key-on"/>
    <w:p>
      <w:pPr>
        <w:pStyle w:val="Heading2"/>
      </w:pPr>
      <w:r>
        <w:t xml:space="preserve">The numbers to key on</w:t>
      </w:r>
    </w:p>
    <w:p>
      <w:pPr>
        <w:pStyle w:val="FirstParagraph"/>
      </w:pPr>
      <w:r>
        <w:rPr>
          <w:b/>
          <w:bCs/>
        </w:rPr>
        <w:t xml:space="preserve">Consensus (per sell-side aggregates):</w:t>
      </w:r>
      <w:r>
        <w:t xml:space="preserve"> </w:t>
      </w:r>
      <w:r>
        <w:t xml:space="preserve">Q2 2026</w:t>
      </w:r>
      <w:r>
        <w:t xml:space="preserve"> </w:t>
      </w:r>
      <w:r>
        <w:rPr>
          <w:b/>
          <w:bCs/>
        </w:rPr>
        <w:t xml:space="preserve">adjusted diluted EPS ~</w:t>
      </w:r>
      <m:oMath>
        <m:r>
          <m:t>3.13</m:t>
        </m:r>
        <m:r>
          <m:rPr>
            <m:sty m:val="p"/>
          </m:rPr>
          <m:t>,</m:t>
        </m:r>
        <m:r>
          <m:t>u</m:t>
        </m:r>
        <m:r>
          <m:t>p</m:t>
        </m:r>
        <m:r>
          <m:t> </m:t>
        </m:r>
        <m:r>
          <m:t>9.4</m:t>
        </m:r>
      </m:oMath>
      <w:r>
        <w:rPr>
          <w:b/>
          <w:bCs/>
        </w:rPr>
        <w:t xml:space="preserve">2.86</w:t>
      </w:r>
      <w:r>
        <w:t xml:space="preserve"> </w:t>
      </w:r>
      <w:r>
        <w:t xml:space="preserve">a year ago. WTW has beaten EPS in each of the last four quarters. Full-year FY26 EPS consensus sits around</w:t>
      </w:r>
      <w:r>
        <w:t xml:space="preserve"> </w:t>
      </w:r>
      <w:r>
        <w:rPr>
          <w:b/>
          <w:bCs/>
        </w:rPr>
        <w:t xml:space="preserve">$19.54 (+14%)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Prior-year comparable (Q2 2025):</w:t>
      </w:r>
      <w:r>
        <w:t xml:space="preserve"> </w:t>
      </w:r>
      <w:r>
        <w:t xml:space="preserve">| Metric | Q2 2025 |</w:t>
      </w:r>
      <w:r>
        <w:t xml:space="preserve"> </w:t>
      </w:r>
      <w:r>
        <w:t xml:space="preserve">|---|---|</w:t>
      </w:r>
      <w:r>
        <w:t xml:space="preserve"> </w:t>
      </w:r>
      <w:r>
        <w:t xml:space="preserve">| Revenue | $2,261M (flat reported on TRANZACT sale;</w:t>
      </w:r>
      <w:r>
        <w:t xml:space="preserve"> </w:t>
      </w:r>
      <w:r>
        <w:rPr>
          <w:b/>
          <w:bCs/>
        </w:rPr>
        <w:t xml:space="preserve">+5% organic</w:t>
      </w:r>
      <w:r>
        <w:t xml:space="preserve">) |</w:t>
      </w:r>
      <w:r>
        <w:t xml:space="preserve"> </w:t>
      </w:r>
      <w:r>
        <w:t xml:space="preserve">| HWC organic | +4% |</w:t>
      </w:r>
      <w:r>
        <w:t xml:space="preserve"> </w:t>
      </w:r>
      <w:r>
        <w:t xml:space="preserve">| R&amp;B organic | +6% |</w:t>
      </w:r>
      <w:r>
        <w:t xml:space="preserve"> </w:t>
      </w:r>
      <w:r>
        <w:t xml:space="preserve">| Adjusted operating margin | 18.5% (+150 bps y/y) |</w:t>
      </w:r>
      <w:r>
        <w:t xml:space="preserve"> </w:t>
      </w:r>
      <w:r>
        <w:t xml:space="preserve">| Adjusted EPS | $2.86 (+20%) |</w:t>
      </w:r>
    </w:p>
    <w:p>
      <w:pPr>
        <w:pStyle w:val="BodyText"/>
      </w:pPr>
      <w:r>
        <w:t xml:space="preserve">Note the</w:t>
      </w:r>
      <w:r>
        <w:t xml:space="preserve"> </w:t>
      </w:r>
      <w:r>
        <w:rPr>
          <w:b/>
          <w:bCs/>
        </w:rPr>
        <w:t xml:space="preserve">seasonality</w:t>
      </w:r>
      <w:r>
        <w:t xml:space="preserve">: Q2 is a lower-margin quarter (18.5% adj. last year vs. 22.3% in Q1-26), so don't read a sequential margin step-down as deterioration.</w:t>
      </w:r>
    </w:p>
    <w:p>
      <w:r>
        <w:pict>
          <v:rect style="width:0;height:1.5pt" o:hralign="center" o:hrstd="t" o:hr="t"/>
        </w:pict>
      </w:r>
    </w:p>
    <w:bookmarkEnd w:id="11"/>
    <w:bookmarkStart w:id="12" w:name="the-five-things-that-will-move-the-stock"/>
    <w:p>
      <w:pPr>
        <w:pStyle w:val="Heading2"/>
      </w:pPr>
      <w:r>
        <w:t xml:space="preserve">The five things that will move the stock</w:t>
      </w:r>
    </w:p>
    <w:p>
      <w:pPr>
        <w:pStyle w:val="FirstParagraph"/>
      </w:pPr>
      <w:r>
        <w:rPr>
          <w:b/>
          <w:bCs/>
        </w:rPr>
        <w:t xml:space="preserve">1. Does organic growth re-accelerate off Q1's 3%?</w:t>
      </w:r>
      <w:r>
        <w:t xml:space="preserve"> </w:t>
      </w:r>
      <w:r>
        <w:t xml:space="preserve">This is the whole ballgame. Management said R&amp;B growth was "mid-single-digit or better" in April, and pinned Q1's R&amp;B weakness on new-business</w:t>
      </w:r>
      <w:r>
        <w:t xml:space="preserve"> </w:t>
      </w:r>
      <w:r>
        <w:rPr>
          <w:i/>
          <w:iCs/>
        </w:rPr>
        <w:t xml:space="preserve">timing</w:t>
      </w:r>
      <w:r>
        <w:t xml:space="preserve"> </w:t>
      </w:r>
      <w:r>
        <w:t xml:space="preserve">that should convert in later quarters. Q2 organic in the</w:t>
      </w:r>
      <w:r>
        <w:t xml:space="preserve"> </w:t>
      </w:r>
      <w:r>
        <w:rPr>
          <w:b/>
          <w:bCs/>
        </w:rPr>
        <w:t xml:space="preserve">4–5% range (with R&amp;B back toward mid-single-digit)</w:t>
      </w:r>
      <w:r>
        <w:t xml:space="preserve"> </w:t>
      </w:r>
      <w:r>
        <w:t xml:space="preserve">would validate the "timing, not trend" thesis. Anything with a 3-handle again would reignite structural concerns.</w:t>
      </w:r>
    </w:p>
    <w:p>
      <w:pPr>
        <w:pStyle w:val="BodyText"/>
      </w:pPr>
      <w:r>
        <w:rPr>
          <w:b/>
          <w:bCs/>
        </w:rPr>
        <w:t xml:space="preserve">2. Newfront — first full quarter in the numbers.</w:t>
      </w:r>
      <w:r>
        <w:t xml:space="preserve"> </w:t>
      </w:r>
      <w:r>
        <w:t xml:space="preserve">WTW closed the ~</w:t>
      </w:r>
      <m:oMath>
        <m:r>
          <m:t>800</m:t>
        </m:r>
        <m:r>
          <m:t>M</m:t>
        </m:r>
        <m:r>
          <m:t>N</m:t>
        </m:r>
        <m:r>
          <m:t>e</m:t>
        </m:r>
        <m:r>
          <m:t>w</m:t>
        </m:r>
        <m:r>
          <m:t>f</m:t>
        </m:r>
        <m:r>
          <m:t>r</m:t>
        </m:r>
        <m:r>
          <m:t>o</m:t>
        </m:r>
        <m:r>
          <m:t>n</m:t>
        </m:r>
        <m:r>
          <m:t>t</m:t>
        </m:r>
        <m:r>
          <m:t>a</m:t>
        </m:r>
        <m:r>
          <m:t>c</m:t>
        </m:r>
        <m:r>
          <m:t>q</m:t>
        </m:r>
        <m:r>
          <m:t>u</m:t>
        </m:r>
        <m:r>
          <m:t>i</m:t>
        </m:r>
        <m:r>
          <m:t>s</m:t>
        </m:r>
        <m:r>
          <m:t>i</m:t>
        </m:r>
        <m:r>
          <m:t>t</m:t>
        </m:r>
        <m:r>
          <m:t>i</m:t>
        </m:r>
        <m:r>
          <m:t>o</m:t>
        </m:r>
        <m:r>
          <m:t>n</m:t>
        </m:r>
        <m:r>
          <m:t>i</m:t>
        </m:r>
        <m:r>
          <m:t>n</m:t>
        </m:r>
        <m:r>
          <m:t>Q</m:t>
        </m:r>
        <m:r>
          <m:t>1</m:t>
        </m:r>
        <m:r>
          <m:rPr>
            <m:sty m:val="p"/>
          </m:rPr>
          <m:t>.</m:t>
        </m:r>
        <m:r>
          <m:t>Q</m:t>
        </m:r>
        <m:r>
          <m:t>2</m:t>
        </m:r>
        <m:r>
          <m:t>i</m:t>
        </m:r>
        <m:r>
          <m:t>s</m:t>
        </m:r>
        <m:r>
          <m:t>t</m:t>
        </m:r>
        <m:r>
          <m:t>h</m:t>
        </m:r>
        <m:r>
          <m:t>e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f</m:t>
        </m:r>
        <m:r>
          <m:t>i</m:t>
        </m:r>
        <m:r>
          <m:t>r</m:t>
        </m:r>
        <m:r>
          <m:t>s</m:t>
        </m:r>
        <m:r>
          <m:t>t</m:t>
        </m:r>
        <m:r>
          <m:t>f</m:t>
        </m:r>
        <m:r>
          <m:t>u</m:t>
        </m:r>
        <m:r>
          <m:t>l</m:t>
        </m:r>
        <m:r>
          <m:t>l</m:t>
        </m:r>
        <m:r>
          <m:t>q</m:t>
        </m:r>
        <m:r>
          <m:t>u</m:t>
        </m:r>
        <m:r>
          <m:t>a</m:t>
        </m:r>
        <m:r>
          <m:t>r</m:t>
        </m:r>
        <m:r>
          <m:t>t</m:t>
        </m:r>
        <m:r>
          <m:t>e</m:t>
        </m:r>
        <m:r>
          <m:t>r</m:t>
        </m:r>
        <m:r>
          <m:t>o</m:t>
        </m:r>
        <m:r>
          <m:t>f</m:t>
        </m:r>
        <m:r>
          <m:t>c</m:t>
        </m:r>
        <m:r>
          <m:t>o</m:t>
        </m:r>
        <m:r>
          <m:t>n</m:t>
        </m:r>
        <m:r>
          <m:t>t</m:t>
        </m:r>
        <m:r>
          <m:t>r</m:t>
        </m:r>
        <m:r>
          <m:t>i</m:t>
        </m:r>
        <m:r>
          <m:t>b</m:t>
        </m:r>
        <m:r>
          <m:t>u</m:t>
        </m:r>
        <m:r>
          <m:t>t</m:t>
        </m:r>
        <m:r>
          <m:t>i</m:t>
        </m:r>
        <m:r>
          <m:t>o</m:t>
        </m:r>
        <m:r>
          <m:t>n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,</m:t>
        </m:r>
        <m:r>
          <m:t>s</m:t>
        </m:r>
        <m:r>
          <m:t>o</m:t>
        </m:r>
        <m:r>
          <m:t>e</m:t>
        </m:r>
        <m:r>
          <m:t>x</m:t>
        </m:r>
        <m:r>
          <m:t>p</m:t>
        </m:r>
        <m:r>
          <m:t>e</m:t>
        </m:r>
        <m:r>
          <m:t>c</m:t>
        </m:r>
        <m:r>
          <m:t>t</m:t>
        </m:r>
        <m:r>
          <m:t>a</m:t>
        </m:r>
        <m:r>
          <m:t>m</m:t>
        </m:r>
        <m:r>
          <m:t>e</m:t>
        </m:r>
        <m:r>
          <m:t>a</m:t>
        </m:r>
        <m:r>
          <m:t>n</m:t>
        </m:r>
        <m:r>
          <m:t>i</m:t>
        </m:r>
        <m:r>
          <m:t>n</m:t>
        </m:r>
        <m:r>
          <m:t>g</m:t>
        </m:r>
        <m:r>
          <m:t>f</m:t>
        </m:r>
        <m:r>
          <m:t>u</m:t>
        </m:r>
        <m:r>
          <m:t>l</m:t>
        </m:r>
        <m:r>
          <m:t>g</m:t>
        </m:r>
        <m:r>
          <m:t>a</m:t>
        </m:r>
        <m:r>
          <m:t>p</m:t>
        </m:r>
        <m:r>
          <m:t>b</m:t>
        </m:r>
        <m:r>
          <m:t>e</m:t>
        </m:r>
        <m:r>
          <m:t>t</m:t>
        </m:r>
        <m:r>
          <m:t>w</m:t>
        </m:r>
        <m:r>
          <m:t>e</m:t>
        </m:r>
        <m:r>
          <m:t>e</m:t>
        </m:r>
        <m:r>
          <m:t>n</m:t>
        </m:r>
        <m:r>
          <m:rPr>
            <m:sty m:val="p"/>
          </m:rPr>
          <m:t>*</m:t>
        </m:r>
        <m:r>
          <m:t>r</m:t>
        </m:r>
        <m:r>
          <m:t>e</m:t>
        </m:r>
        <m:r>
          <m:t>p</m:t>
        </m:r>
        <m:r>
          <m:t>o</m:t>
        </m:r>
        <m:r>
          <m:t>r</m:t>
        </m:r>
        <m:r>
          <m:t>t</m:t>
        </m:r>
        <m:r>
          <m:t>e</m:t>
        </m:r>
        <m:r>
          <m:t>d</m:t>
        </m:r>
        <m:r>
          <m:rPr>
            <m:sty m:val="p"/>
          </m:rPr>
          <m:t>*</m:t>
        </m:r>
        <m:r>
          <m:t>a</m:t>
        </m:r>
        <m:r>
          <m:t>n</m:t>
        </m:r>
        <m:r>
          <m:t>d</m:t>
        </m:r>
        <m:r>
          <m:rPr>
            <m:sty m:val="p"/>
          </m:rPr>
          <m:t>*</m:t>
        </m:r>
        <m:r>
          <m:t>o</m:t>
        </m:r>
        <m:r>
          <m:t>r</m:t>
        </m:r>
        <m:r>
          <m:t>g</m:t>
        </m:r>
        <m:r>
          <m:t>a</m:t>
        </m:r>
        <m:r>
          <m:t>n</m:t>
        </m:r>
        <m:r>
          <m:t>i</m:t>
        </m:r>
        <m:r>
          <m:t>c</m:t>
        </m:r>
        <m:r>
          <m:rPr>
            <m:sty m:val="p"/>
          </m:rPr>
          <m:t>*</m:t>
        </m:r>
        <m:r>
          <m:t>g</m:t>
        </m:r>
        <m:r>
          <m:t>r</m:t>
        </m:r>
        <m:r>
          <m:t>o</m:t>
        </m:r>
        <m:r>
          <m:t>w</m:t>
        </m:r>
        <m:r>
          <m:t>t</m:t>
        </m:r>
        <m:r>
          <m:t>h</m:t>
        </m:r>
        <m:r>
          <m:rPr>
            <m:sty m:val="p"/>
          </m:rPr>
          <m:t>.</m:t>
        </m:r>
        <m:r>
          <m:t>G</m:t>
        </m:r>
        <m:r>
          <m:t>u</m:t>
        </m:r>
        <m:r>
          <m:t>i</m:t>
        </m:r>
        <m:r>
          <m:t>d</m:t>
        </m:r>
        <m:r>
          <m:t>e</m:t>
        </m:r>
        <m:r>
          <m:t>p</m:t>
        </m:r>
        <m:r>
          <m:t>o</m:t>
        </m:r>
        <m:r>
          <m:t>s</m:t>
        </m:r>
        <m:r>
          <m:t>t</m:t>
        </m:r>
        <m:r>
          <m:t>s</m:t>
        </m:r>
        <m:r>
          <m:t>m</m:t>
        </m:r>
        <m:r>
          <m:t>a</m:t>
        </m:r>
        <m:r>
          <m:t>n</m:t>
        </m:r>
        <m:r>
          <m:t>a</m:t>
        </m:r>
        <m:r>
          <m:t>g</m:t>
        </m:r>
        <m:r>
          <m:t>e</m:t>
        </m:r>
        <m:r>
          <m:t>m</m:t>
        </m:r>
        <m:r>
          <m:t>e</m:t>
        </m:r>
        <m:r>
          <m:t>n</m:t>
        </m:r>
        <m:r>
          <m:t>t</m:t>
        </m:r>
        <m:r>
          <m:t>g</m:t>
        </m:r>
        <m:r>
          <m:t>a</m:t>
        </m:r>
        <m:r>
          <m:t>v</m:t>
        </m:r>
        <m:r>
          <m:t>e</m:t>
        </m:r>
        <m:r>
          <m:rPr>
            <m:sty m:val="p"/>
          </m:rPr>
          <m:t>: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 </m:t>
        </m:r>
      </m:oMath>
      <w:r>
        <w:t xml:space="preserve">250M of post-close 2026 revenue at ~26% EBITDA margin, ~$0.10 dilutive to 2026 adjusted EPS**, split ~42% into HWC (Total Rewards) and ~58% into R&amp;B (Business Insurance). Watch for early integration proof points (Neuron/AI operating-system rollout, cross-sell wins) — the AI story is now central to the bull case, with co-founder Spike Lipkin installed as Chief AI Officer.</w:t>
      </w:r>
    </w:p>
    <w:p>
      <w:pPr>
        <w:pStyle w:val="BodyText"/>
      </w:pPr>
      <w:r>
        <w:rPr>
          <w:b/>
          <w:bCs/>
        </w:rPr>
        <w:t xml:space="preserve">3. Middle East / Career trajectory.</w:t>
      </w:r>
      <w:r>
        <w:t xml:space="preserve"> </w:t>
      </w:r>
      <w:r>
        <w:t xml:space="preserve">The Middle East was the marginal culprit in Q1 (Career -3%; R&amp;B international new business soft). Management framed it as "temporary" and "one of our smallest geographies." Look for whether Career inflects back to growth and whether R&amp;B international stabilizes. Also watch HWC</w:t>
      </w:r>
      <w:r>
        <w:t xml:space="preserve"> </w:t>
      </w:r>
      <w:r>
        <w:rPr>
          <w:b/>
          <w:bCs/>
        </w:rPr>
        <w:t xml:space="preserve">Health</w:t>
      </w:r>
      <w:r>
        <w:t xml:space="preserve"> </w:t>
      </w:r>
      <w:r>
        <w:t xml:space="preserve">momentum — the standout at</w:t>
      </w:r>
      <w:r>
        <w:t xml:space="preserve"> </w:t>
      </w:r>
      <w:r>
        <w:rPr>
          <w:b/>
          <w:bCs/>
        </w:rPr>
        <w:t xml:space="preserve">+6% in Q1</w:t>
      </w:r>
      <w:r>
        <w:t xml:space="preserve"> </w:t>
      </w:r>
      <w:r>
        <w:t xml:space="preserve">with a high-single-digit full-year target on double-digit medical inflation.</w:t>
      </w:r>
    </w:p>
    <w:p>
      <w:pPr>
        <w:pStyle w:val="BodyText"/>
      </w:pPr>
      <w:r>
        <w:rPr>
          <w:b/>
          <w:bCs/>
        </w:rPr>
        <w:t xml:space="preserve">4. Margins and the full-year guide.</w:t>
      </w:r>
      <w:r>
        <w:t xml:space="preserve"> </w:t>
      </w:r>
      <w:r>
        <w:t xml:space="preserve">WTW is committed to</w:t>
      </w:r>
      <w:r>
        <w:t xml:space="preserve"> </w:t>
      </w:r>
      <w:r>
        <w:rPr>
          <w:b/>
          <w:bCs/>
        </w:rPr>
        <w:t xml:space="preserve">~100 bps average annual R&amp;B margin expansion (over 2 years)</w:t>
      </w:r>
      <w:r>
        <w:t xml:space="preserve"> </w:t>
      </w:r>
      <w:r>
        <w:t xml:space="preserve">plus incremental HWC/enterprise expansion, increasingly AI/efficiency-driven. Given the soft top line, investors will scrutinize whether margin flow-through holds and — critically —</w:t>
      </w:r>
      <w:r>
        <w:t xml:space="preserve"> </w:t>
      </w:r>
      <w:r>
        <w:rPr>
          <w:b/>
          <w:bCs/>
        </w:rPr>
        <w:t xml:space="preserve">whether management reaffirms the enterprise mid-single-digit organic guide for the full year or narrows again.</w:t>
      </w:r>
      <w:r>
        <w:t xml:space="preserve"> </w:t>
      </w:r>
      <w:r>
        <w:t xml:space="preserve">A second guidance trim would be the bear case confirmed.</w:t>
      </w:r>
    </w:p>
    <w:p>
      <w:pPr>
        <w:pStyle w:val="BodyText"/>
      </w:pPr>
      <w:r>
        <w:rPr>
          <w:b/>
          <w:bCs/>
        </w:rPr>
        <w:t xml:space="preserve">5. Capital return / buyback pace.</w:t>
      </w:r>
      <w:r>
        <w:t xml:space="preserve"> </w:t>
      </w:r>
      <w:r>
        <w:t xml:space="preserve">Guidance is for</w:t>
      </w:r>
      <w:r>
        <w:t xml:space="preserve"> </w:t>
      </w:r>
      <w:r>
        <w:rPr>
          <w:b/>
          <w:bCs/>
        </w:rPr>
        <w:t xml:space="preserve">≥</w:t>
      </w:r>
      <m:oMath>
        <m:r>
          <m:t>1</m:t>
        </m:r>
        <m:r>
          <m:t>B</m:t>
        </m:r>
        <m:r>
          <m:t>o</m:t>
        </m:r>
        <m:r>
          <m:t>f</m:t>
        </m:r>
        <m:r>
          <m:t>r</m:t>
        </m:r>
        <m:r>
          <m:t>e</m:t>
        </m:r>
        <m:r>
          <m:t>p</m:t>
        </m:r>
        <m:r>
          <m:t>u</m:t>
        </m:r>
        <m:r>
          <m:t>r</m:t>
        </m:r>
        <m:r>
          <m:t>c</m:t>
        </m:r>
        <m:r>
          <m:t>h</m:t>
        </m:r>
        <m:r>
          <m:t>a</m:t>
        </m:r>
        <m:r>
          <m:t>s</m:t>
        </m:r>
        <m:r>
          <m:t>e</m:t>
        </m:r>
        <m:r>
          <m:t>s</m:t>
        </m:r>
        <m:r>
          <m:t>i</m:t>
        </m:r>
        <m:r>
          <m:t>n</m:t>
        </m:r>
        <m:r>
          <m:t>2026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;</m:t>
        </m:r>
        <m:r>
          <m:t>o</m:t>
        </m:r>
        <m:r>
          <m:t>n</m:t>
        </m:r>
        <m:r>
          <m:t>l</m:t>
        </m:r>
        <m:r>
          <m:t>y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rPr>
          <w:b/>
          <w:bCs/>
        </w:rPr>
        <w:t xml:space="preserve">300M was done in Q1</w:t>
      </w:r>
      <w:r>
        <w:t xml:space="preserve"> </w:t>
      </w:r>
      <w:r>
        <w:t xml:space="preserve">(vs.</w:t>
      </w:r>
      <w:r>
        <w:t xml:space="preserve"> </w:t>
      </w:r>
      <m:oMath>
        <m:r>
          <m:t>500</m:t>
        </m:r>
        <m:r>
          <m:t>M</m:t>
        </m:r>
        <m:r>
          <m:t>i</m:t>
        </m:r>
        <m:r>
          <m:t>n</m:t>
        </m:r>
        <m:r>
          <m:t>Q</m:t>
        </m:r>
        <m:r>
          <m:t>2</m:t>
        </m:r>
        <m:r>
          <m:rPr>
            <m:sty m:val="p"/>
          </m:rPr>
          <m:t>−</m:t>
        </m:r>
        <m:r>
          <m:t>25</m:t>
        </m:r>
        <m:r>
          <m:rPr>
            <m:sty m:val="p"/>
          </m:rPr>
          <m:t>)</m:t>
        </m:r>
        <m:r>
          <m:rPr>
            <m:sty m:val="p"/>
          </m:rPr>
          <m:t>.</m:t>
        </m:r>
        <m:r>
          <m:t>W</m:t>
        </m:r>
        <m:r>
          <m:t>i</m:t>
        </m:r>
        <m:r>
          <m:t>t</m:t>
        </m:r>
        <m:r>
          <m:t>h</m:t>
        </m:r>
        <m:r>
          <m:t>t</m:t>
        </m:r>
        <m:r>
          <m:t>h</m:t>
        </m:r>
        <m:r>
          <m:t>e</m:t>
        </m:r>
        <m:r>
          <m:t>s</m:t>
        </m:r>
        <m:r>
          <m:t>t</m:t>
        </m:r>
        <m:r>
          <m:t>o</m:t>
        </m:r>
        <m:r>
          <m:t>c</m:t>
        </m:r>
        <m:r>
          <m:t>k</m:t>
        </m:r>
        <m:r>
          <m:t>h</m:t>
        </m:r>
        <m:r>
          <m:t>a</m:t>
        </m:r>
        <m:r>
          <m:t>v</m:t>
        </m:r>
        <m:r>
          <m:t>i</m:t>
        </m:r>
        <m:r>
          <m:t>n</m:t>
        </m:r>
        <m:r>
          <m:t>g</m:t>
        </m:r>
        <m:r>
          <m:t>t</m:t>
        </m:r>
        <m:r>
          <m:t>r</m:t>
        </m:r>
        <m:r>
          <m:t>a</m:t>
        </m:r>
        <m:r>
          <m:t>d</m:t>
        </m:r>
        <m:r>
          <m:t>e</m:t>
        </m:r>
        <m:r>
          <m:t>d</m:t>
        </m:r>
        <m:r>
          <m:t>a</m:t>
        </m:r>
        <m:r>
          <m:t>s</m:t>
        </m:r>
        <m:r>
          <m:t>l</m:t>
        </m:r>
        <m:r>
          <m:t>o</m:t>
        </m:r>
        <m:r>
          <m:t>w</m:t>
        </m:r>
        <m:r>
          <m:t>a</m:t>
        </m:r>
        <m:r>
          <m:t>s</m:t>
        </m:r>
        <m:r>
          <m:t> </m:t>
        </m:r>
      </m:oMath>
      <w:r>
        <w:t xml:space="preserve">242, management hinted it would "lean in… from an absolute dollar and timing perspective." A larger Q2 buyback would signal conviction that shares are cheap.</w:t>
      </w:r>
    </w:p>
    <w:p>
      <w:r>
        <w:pict>
          <v:rect style="width:0;height:1.5pt" o:hralign="center" o:hrstd="t" o:hr="t"/>
        </w:pict>
      </w:r>
    </w:p>
    <w:bookmarkEnd w:id="12"/>
    <w:bookmarkStart w:id="13" w:name="tailwinds-vs-headwinds-to-model"/>
    <w:p>
      <w:pPr>
        <w:pStyle w:val="Heading2"/>
      </w:pPr>
      <w:r>
        <w:t xml:space="preserve">Tailwinds vs. headwinds to model</w:t>
      </w:r>
    </w:p>
    <w:p>
      <w:pPr>
        <w:pStyle w:val="FirstParagraph"/>
      </w:pPr>
      <w:r>
        <w:rPr>
          <w:b/>
          <w:bCs/>
        </w:rPr>
        <w:t xml:space="preserve">Tailwinds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FX:</w:t>
      </w:r>
      <w:r>
        <w:t xml:space="preserve"> </w:t>
      </w:r>
      <w:r>
        <w:t xml:space="preserve">~</w:t>
      </w:r>
      <m:oMath>
        <m:r>
          <m:t>0.10</m:t>
        </m:r>
        <m:r>
          <m:t>a</m:t>
        </m:r>
        <m:r>
          <m:t>d</m:t>
        </m:r>
        <m:r>
          <m:t>j</m:t>
        </m:r>
        <m:r>
          <m:t>u</m:t>
        </m:r>
        <m:r>
          <m:t>s</m:t>
        </m:r>
        <m:r>
          <m:t>t</m:t>
        </m:r>
        <m:r>
          <m:t>e</m:t>
        </m:r>
        <m:r>
          <m:t>d</m:t>
        </m:r>
        <m:r>
          <m:rPr>
            <m:sty m:val="p"/>
          </m:rPr>
          <m:t>−</m:t>
        </m:r>
        <m:r>
          <m:t>E</m:t>
        </m:r>
        <m:r>
          <m:t>P</m:t>
        </m:r>
        <m:r>
          <m:t>S</m:t>
        </m:r>
        <m:r>
          <m:t>t</m:t>
        </m:r>
        <m:r>
          <m:t>a</m:t>
        </m:r>
        <m:r>
          <m:t>i</m:t>
        </m:r>
        <m:r>
          <m:t>l</m:t>
        </m:r>
        <m:r>
          <m:t>w</m:t>
        </m:r>
        <m:r>
          <m:t>i</m:t>
        </m:r>
        <m:r>
          <m:t>n</m:t>
        </m:r>
        <m:r>
          <m:t>d</m:t>
        </m:r>
        <m:r>
          <m:t>e</m:t>
        </m:r>
        <m:r>
          <m:t>x</m:t>
        </m:r>
        <m:r>
          <m:t>p</m:t>
        </m:r>
        <m:r>
          <m:t>e</m:t>
        </m:r>
        <m:r>
          <m:t>c</m:t>
        </m:r>
        <m:r>
          <m:t>t</m:t>
        </m:r>
        <m:r>
          <m:t>e</m:t>
        </m:r>
        <m:r>
          <m:t>d</m:t>
        </m:r>
        <m:r>
          <m:t>i</m:t>
        </m:r>
        <m:r>
          <m:t>n</m:t>
        </m:r>
        <m:r>
          <m:t>Q</m:t>
        </m:r>
        <m:r>
          <m:t>2</m:t>
        </m:r>
        <m:r>
          <m:rPr>
            <m:sty m:val="p"/>
          </m:rPr>
          <m:t>(</m:t>
        </m:r>
        <m:r>
          <m:t> </m:t>
        </m:r>
      </m:oMath>
      <w:r>
        <w:t xml:space="preserve">0.35 for the full year).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Newfront + Cushon</w:t>
      </w:r>
      <w:r>
        <w:t xml:space="preserve"> </w:t>
      </w:r>
      <w:r>
        <w:t xml:space="preserve">(Wealth acquisition expected to close in Q2) and Flowstone add reported/total growth.</w:t>
      </w:r>
    </w:p>
    <w:p>
      <w:pPr>
        <w:pStyle w:val="Compact"/>
        <w:numPr>
          <w:ilvl w:val="0"/>
          <w:numId w:val="1002"/>
        </w:numPr>
      </w:pPr>
      <w:r>
        <w:t xml:space="preserve">Continued cost/AI efficiency (WE DO, Neuron, contact-center automation).</w:t>
      </w:r>
    </w:p>
    <w:p>
      <w:pPr>
        <w:pStyle w:val="Compact"/>
        <w:numPr>
          <w:ilvl w:val="0"/>
          <w:numId w:val="1002"/>
        </w:numPr>
      </w:pPr>
      <w:r>
        <w:t xml:space="preserve">Buyback shrinking the share count (diluted shares down to ~96M from ~101M y/y).</w:t>
      </w:r>
    </w:p>
    <w:p>
      <w:pPr>
        <w:pStyle w:val="FirstParagraph"/>
      </w:pPr>
      <w:r>
        <w:rPr>
          <w:b/>
          <w:bCs/>
        </w:rPr>
        <w:t xml:space="preserve">Headwinds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Softening P&amp;C pricing</w:t>
      </w:r>
      <w:r>
        <w:t xml:space="preserve"> </w:t>
      </w:r>
      <w:r>
        <w:t xml:space="preserve">and carrier grumbling about "excessive" broker commissions — a sentiment overhang even if not a near-term earnings driver.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Newfront dilution</w:t>
      </w:r>
      <w:r>
        <w:t xml:space="preserve"> </w:t>
      </w:r>
      <w:r>
        <w:t xml:space="preserve">(~</w:t>
      </w:r>
      <m:oMath>
        <m:r>
          <m:t>0.10</m:t>
        </m:r>
        <m:r>
          <m:t>f</m:t>
        </m:r>
        <m:r>
          <m:t>o</m:t>
        </m:r>
        <m:r>
          <m:t>r</m:t>
        </m:r>
        <m:r>
          <m:t>t</m:t>
        </m:r>
        <m:r>
          <m:t>h</m:t>
        </m:r>
        <m:r>
          <m:t>e</m:t>
        </m:r>
        <m:r>
          <m:t>y</m:t>
        </m:r>
        <m:r>
          <m:t>e</m:t>
        </m:r>
        <m:r>
          <m:t>a</m:t>
        </m:r>
        <m:r>
          <m:t>r</m:t>
        </m:r>
        <m:r>
          <m:rPr>
            <m:sty m:val="p"/>
          </m:rPr>
          <m:t>)</m:t>
        </m:r>
        <m:r>
          <m:t>a</m:t>
        </m:r>
        <m:r>
          <m:t>n</m:t>
        </m:r>
        <m:r>
          <m:t>d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h</m:t>
        </m:r>
        <m:r>
          <m:t>i</m:t>
        </m:r>
        <m:r>
          <m:t>g</m:t>
        </m:r>
        <m:r>
          <m:t>h</m:t>
        </m:r>
        <m:r>
          <m:t>e</m:t>
        </m:r>
        <m:r>
          <m:t>r</m:t>
        </m:r>
        <m:r>
          <m:t>i</m:t>
        </m:r>
        <m:r>
          <m:t>n</m:t>
        </m:r>
        <m:r>
          <m:t>t</m:t>
        </m:r>
        <m:r>
          <m:t>e</m:t>
        </m:r>
        <m:r>
          <m:t>r</m:t>
        </m:r>
        <m:r>
          <m:t>e</m:t>
        </m:r>
        <m:r>
          <m:t>s</m:t>
        </m:r>
        <m:r>
          <m:t>t</m:t>
        </m:r>
        <m:r>
          <m:t>e</m:t>
        </m:r>
        <m:r>
          <m:t>x</m:t>
        </m:r>
        <m:r>
          <m:t>p</m:t>
        </m:r>
        <m:r>
          <m:t>e</m:t>
        </m:r>
        <m:r>
          <m:t>n</m:t>
        </m:r>
        <m:r>
          <m:t>s</m:t>
        </m:r>
        <m:r>
          <m:t>e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(</m:t>
        </m:r>
        <m:r>
          <m:t>l</m:t>
        </m:r>
        <m:r>
          <m:t>o</m:t>
        </m:r>
        <m:r>
          <m:t>n</m:t>
        </m:r>
        <m:r>
          <m:t>g</m:t>
        </m:r>
        <m:r>
          <m:rPr>
            <m:sty m:val="p"/>
          </m:rPr>
          <m:t>−</m:t>
        </m:r>
        <m:r>
          <m:t>t</m:t>
        </m:r>
        <m:r>
          <m:t>e</m:t>
        </m:r>
        <m:r>
          <m:t>r</m:t>
        </m:r>
        <m:r>
          <m:t>m</m:t>
        </m:r>
        <m:r>
          <m:t>d</m:t>
        </m:r>
        <m:r>
          <m:t>e</m:t>
        </m:r>
        <m:r>
          <m:t>b</m:t>
        </m:r>
        <m:r>
          <m:t>t</m:t>
        </m:r>
        <m:r>
          <m:t>r</m:t>
        </m:r>
        <m:r>
          <m:t>o</m:t>
        </m:r>
        <m:r>
          <m:t>s</m:t>
        </m:r>
        <m:r>
          <m:t>e</m:t>
        </m:r>
        <m:r>
          <m:t>t</m:t>
        </m:r>
        <m:r>
          <m:t>o</m:t>
        </m:r>
        <m:r>
          <m:t> </m:t>
        </m:r>
      </m:oMath>
      <w:r>
        <w:t xml:space="preserve">6.3B after funding the deal).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Willis Re JV (Bain) reinsurance</w:t>
      </w:r>
      <w:r>
        <w:t xml:space="preserve"> </w:t>
      </w:r>
      <w:r>
        <w:t xml:space="preserve">— a</w:t>
      </w:r>
      <w:r>
        <w:t xml:space="preserve"> </w:t>
      </w:r>
      <w:r>
        <w:rPr>
          <w:b/>
          <w:bCs/>
        </w:rPr>
        <w:t xml:space="preserve">~$0.30 adjusted-EPS headwind</w:t>
      </w:r>
      <w:r>
        <w:t xml:space="preserve"> </w:t>
      </w:r>
      <w:r>
        <w:t xml:space="preserve">in 2026 at the associates line.</w:t>
      </w:r>
    </w:p>
    <w:p>
      <w:pPr>
        <w:pStyle w:val="Compact"/>
        <w:numPr>
          <w:ilvl w:val="0"/>
          <w:numId w:val="1003"/>
        </w:numPr>
      </w:pPr>
      <w:r>
        <w:t xml:space="preserve">Lingering Middle East / discretionary-spend caution.</w:t>
      </w:r>
    </w:p>
    <w:p>
      <w:r>
        <w:pict>
          <v:rect style="width:0;height:1.5pt" o:hralign="center" o:hrstd="t" o:hr="t"/>
        </w:pict>
      </w:r>
    </w:p>
    <w:bookmarkEnd w:id="13"/>
    <w:bookmarkStart w:id="14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This is a "show-me" quarter. The market has already forgiven the Q1 miss (stock fully recovered), so WTW likely needs to</w:t>
      </w:r>
      <w:r>
        <w:t xml:space="preserve"> </w:t>
      </w:r>
      <w:r>
        <w:rPr>
          <w:b/>
          <w:bCs/>
        </w:rPr>
        <w:t xml:space="preserve">(a) reaccelerate organic growth toward mid-single digits, led by R&amp;B, (b) reaffirm the full-year enterprise organic guide, and (c) show clean margin/EPS execution</w:t>
      </w:r>
      <w:r>
        <w:t xml:space="preserve"> </w:t>
      </w:r>
      <w:r>
        <w:t xml:space="preserve">to hold the recent rally. A beat on EPS is the base case given the four-quarter beat streak and FX help — but</w:t>
      </w:r>
      <w:r>
        <w:t xml:space="preserve"> </w:t>
      </w:r>
      <w:r>
        <w:rPr>
          <w:b/>
          <w:bCs/>
        </w:rPr>
        <w:t xml:space="preserve">the organic revenue line and any change to guidance will dictate the reaction far more than the headline EPS.</w:t>
      </w:r>
      <w:r>
        <w:t xml:space="preserve"> </w:t>
      </w:r>
      <w:r>
        <w:t xml:space="preserve">A second straight guide-down, or R&amp;B failing to bounce back, would be the negative surprise investors are most guarded against.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Sources: WTW Q1 2026 and Q2 2025 earnings releases and transcripts; historical price data (Finnhub); consensus estimates via public analyst aggregates. Estimates and expectations are subject to change; verify against the actual release.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2026-07-29T18:19:41Z</dcterms:created>
  <dcterms:modified xsi:type="dcterms:W3CDTF">2026-07-29T18:19:41Z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