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tw-earnings-predictions--2026-07-30"/>
    <w:p>
      <w:pPr>
        <w:pStyle w:val="Heading1"/>
      </w:pPr>
      <w:r>
        <w:t xml:space="preserve">WTW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~$3.22 vs. cons $3.13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Risk &amp; Broking organic revenue growth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~5.5% vs. cons/implied ~4.5%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~$2.44B vs. cons $2.43B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organic revenue growth (Corporate/both segments)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~mid-single-digit (~4.5-5%) vs. cons ~4.5-5%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R&amp;B average annual operating margin expansion target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~40-60bps vs. cons/prior target ~100bps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FX tailwind to adjusted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0.35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rPr>
                  <m:sty m:val="p"/>
                </m:rPr>
                <m:t>/</m:t>
              </m:r>
              <m:r>
                <m:t>p</m:t>
              </m:r>
              <m:r>
                <m:t>r</m:t>
              </m:r>
              <m:r>
                <m:t>i</m:t>
              </m:r>
              <m:r>
                <m:t>o</m:t>
              </m:r>
              <m:r>
                <m:t>r</m:t>
              </m:r>
              <m:r>
                <m:t> </m:t>
              </m:r>
            </m:oMath>
            <w:r>
              <w:t xml:space="preserve">0.35 (FY2026)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+0.5% (FADE)</w:t>
            </w:r>
          </w:p>
        </w:tc>
        <w:tc>
          <w:tcPr/>
          <w:p>
            <w:pPr>
              <w:pStyle w:val="Compact"/>
            </w:pPr>
            <w:r>
              <w:t xml:space="preserve">Stock already ran ~11% into the print on a sector-wide 'safe haven' rotation (insurer/broker index +4.3% on 7/28 alone) plus 4 straight EPS beats, so a merely in-line-to-modest EPS/organic beat is largely pre-spent. Q1's R&amp;B margin shortfall vs. the ~100bps/year target implies analysts likely trim out-quarter margin/EPS assumptions even after a headline beat, capping upward revisions. Expect an initial pop on the R&amp;B reacceleration confirmation (day1), followed by partial giveback over the week as investors round-trip some of the pre-earnings rally and digest the softer margin cadence and any incremental Middle East caution — net FOLLOW-THROUGH is unlikely without an explicit raise to full-year organic or margin guidance.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2026-07-29T18:24:50Z</dcterms:created>
  <dcterms:modified xsi:type="dcterms:W3CDTF">2026-07-29T18:24:50Z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