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15" w:name="Xd72db09c05c54142ff20345597b90af9fb8d253"/>
    <w:p>
      <w:pPr>
        <w:pStyle w:val="Heading1"/>
      </w:pPr>
      <w:r>
        <w:t xml:space="preserve">WTW (Willis Towers Watson) — Q2 2026 Earnings Preview</w:t>
      </w:r>
    </w:p>
    <w:p>
      <w:pPr>
        <w:pStyle w:val="FirstParagraph"/>
      </w:pPr>
      <w:r>
        <w:rPr>
          <w:b/>
          <w:bCs/>
        </w:rPr>
        <w:t xml:space="preserve">Reports: Thursday, July 30, 2026, before market open | Call: 9:00 a.m. ET</w:t>
      </w:r>
    </w:p>
    <w:p>
      <w:r>
        <w:pict>
          <v:rect style="width:0;height:1.5pt" o:hralign="center" o:hrstd="t" o:hr="t"/>
        </w:pict>
      </w:r>
    </w:p>
    <w:bookmarkStart w:id="9" w:name="snapshot"/>
    <w:p>
      <w:pPr>
        <w:pStyle w:val="Heading2"/>
      </w:pPr>
      <w:r>
        <w:t xml:space="preserve">Snapshot</w:t>
      </w:r>
    </w:p>
    <w:tbl>
      <w:tblPr>
        <w:tblStyle w:val="Table"/>
        <w:tblW w:type="auto" w:w="0"/>
        <w:tblLook w:firstRow="1" w:lastRow="0" w:firstColumn="0" w:lastColumn="0" w:noHBand="0" w:noVBand="0" w:val="0020"/>
      </w:tblPr>
      <w:tblGrid>
        <w:gridCol w:w="3960"/>
        <w:gridCol w:w="3960"/>
      </w:tblGrid>
      <w:tr>
        <w:trPr>
          <w:tblHeader w:val="on"/>
        </w:trPr>
        <w:tc>
          <w:tcPr/>
          <w:p>
            <w:pPr>
              <w:pStyle w:val="Compact"/>
            </w:pPr>
          </w:p>
        </w:tc>
        <w:tc>
          <w:tcPr/>
          <w:p>
            <w:pPr>
              <w:pStyle w:val="Compact"/>
            </w:pPr>
          </w:p>
        </w:tc>
      </w:tr>
      <w:tr>
        <w:tc>
          <w:tcPr/>
          <w:p>
            <w:pPr>
              <w:pStyle w:val="Compact"/>
            </w:pPr>
            <w:r>
              <w:t xml:space="preserve">Consensus Revenue</w:t>
            </w:r>
          </w:p>
        </w:tc>
        <w:tc>
          <w:tcPr/>
          <w:p>
            <w:pPr>
              <w:pStyle w:val="Compact"/>
            </w:pPr>
            <w:r>
              <w:t xml:space="preserve">~$2.43B (+7.4% y/y)</w:t>
            </w:r>
          </w:p>
        </w:tc>
      </w:tr>
      <w:tr>
        <w:tc>
          <w:tcPr/>
          <w:p>
            <w:pPr>
              <w:pStyle w:val="Compact"/>
            </w:pPr>
            <w:r>
              <w:t xml:space="preserve">Consensus Adj. EPS</w:t>
            </w:r>
          </w:p>
        </w:tc>
        <w:tc>
          <w:tcPr/>
          <w:p>
            <w:pPr>
              <w:pStyle w:val="Compact"/>
            </w:pPr>
            <w:r>
              <w:t xml:space="preserve">~$3.13 (+9.4% y/y)</w:t>
            </w:r>
          </w:p>
        </w:tc>
      </w:tr>
      <w:tr>
        <w:tc>
          <w:tcPr/>
          <w:p>
            <w:pPr>
              <w:pStyle w:val="Compact"/>
            </w:pPr>
            <w:r>
              <w:t xml:space="preserve">Stock price (7/29/26 close)</w:t>
            </w:r>
          </w:p>
        </w:tc>
        <w:tc>
          <w:tcPr/>
          <w:p>
            <w:pPr>
              <w:pStyle w:val="Compact"/>
            </w:pPr>
            <w:r>
              <w:t xml:space="preserve">~$317, near a 3-month high</w:t>
            </w:r>
          </w:p>
        </w:tc>
      </w:tr>
      <w:tr>
        <w:tc>
          <w:tcPr/>
          <w:p>
            <w:pPr>
              <w:pStyle w:val="Compact"/>
            </w:pPr>
            <w:r>
              <w:t xml:space="preserve">Analyst sentiment</w:t>
            </w:r>
          </w:p>
        </w:tc>
        <w:tc>
          <w:tcPr/>
          <w:p>
            <w:pPr>
              <w:pStyle w:val="Compact"/>
            </w:pPr>
            <w:r>
              <w:t xml:space="preserve">"Moderate Buy" consensus, avg. PT ~$352</w:t>
            </w:r>
          </w:p>
        </w:tc>
      </w:tr>
      <w:tr>
        <w:tc>
          <w:tcPr/>
          <w:p>
            <w:pPr>
              <w:pStyle w:val="Compact"/>
            </w:pPr>
            <w:r>
              <w:t xml:space="preserve">Prior quarter reaction</w:t>
            </w:r>
          </w:p>
        </w:tc>
        <w:tc>
          <w:tcPr/>
          <w:p>
            <w:pPr>
              <w:pStyle w:val="Compact"/>
            </w:pPr>
            <w:r>
              <w:t xml:space="preserve">Stock fell ~12% on Q1 print (Apr 30)</w:t>
            </w:r>
          </w:p>
        </w:tc>
      </w:tr>
    </w:tbl>
    <w:p>
      <w:pPr>
        <w:pStyle w:val="BodyText"/>
      </w:pPr>
      <w:r>
        <w:t xml:space="preserve">Wall Street is looking for continued double-digit adjusted EPS growth and a return to more "normal" organic growth after a soft first quarter. The Zacks model currently points to another beat: the Most Accurate Estimate of $3.21 sits above the $3.13 consensus, giving WTW a positive Earnings ESP, and the stock has now topped consensus EPS in each of its last four reports.</w:t>
      </w:r>
    </w:p>
    <w:p>
      <w:r>
        <w:pict>
          <v:rect style="width:0;height:1.5pt" o:hralign="center" o:hrstd="t" o:hr="t"/>
        </w:pict>
      </w:r>
    </w:p>
    <w:bookmarkEnd w:id="9"/>
    <w:bookmarkStart w:id="10" w:name="setting-the-stage-what-happened-in-q1"/>
    <w:p>
      <w:pPr>
        <w:pStyle w:val="Heading2"/>
      </w:pPr>
      <w:r>
        <w:t xml:space="preserve">Setting the stage: what happened in Q1</w:t>
      </w:r>
    </w:p>
    <w:p>
      <w:pPr>
        <w:pStyle w:val="FirstParagraph"/>
      </w:pPr>
      <w:r>
        <w:t xml:space="preserve">Q1 2026 was the quarter that reset expectations. WTW delivered 3% organic growth with adjusted operating margin of 22.3% and $3.72 of adjusted diluted earnings per share, but management was candid that revenue came in at the low end of our plan as we saw the effects of a more challenging and volatile global market environment during the quarter, particularly considering our meaningful presence in the Middle East region. Risk &amp; Broking (R&amp;B) organic growth decelerated sharply to 2% (1% ex book-of-business/interest income) against an unusually strong 9% prior-year comp, driven by a miss in our new business target, some of which timed into future quarters and a more competitive pricing environment. Career (part of HWC) fell 3% as conditions in the Middle East caused clients in the region to postpone advisory projects.</w:t>
      </w:r>
    </w:p>
    <w:p>
      <w:pPr>
        <w:pStyle w:val="BodyText"/>
      </w:pPr>
      <w:r>
        <w:t xml:space="preserve">Because of this, management</w:t>
      </w:r>
      <w:r>
        <w:t xml:space="preserve"> </w:t>
      </w:r>
      <w:r>
        <w:rPr>
          <w:b/>
          <w:bCs/>
        </w:rPr>
        <w:t xml:space="preserve">narrowed</w:t>
      </w:r>
      <w:r>
        <w:t xml:space="preserve"> </w:t>
      </w:r>
      <w:r>
        <w:t xml:space="preserve">full-year guidance for both segments to mid-single-digit organic growth (Career specifically to low-to-mid-single-digit) rather than the higher end previously discussed. The stock sold off roughly 12% on the print and continued to slide to a 2026 low near</w:t>
      </w:r>
      <w:r>
        <w:t xml:space="preserve"> </w:t>
      </w:r>
      <m:oMath>
        <m:r>
          <m:t>242</m:t>
        </m:r>
        <m:r>
          <m:t>i</m:t>
        </m:r>
        <m:r>
          <m:t>n</m:t>
        </m:r>
        <m:r>
          <m:t>m</m:t>
        </m:r>
        <m:r>
          <m:t>i</m:t>
        </m:r>
        <m:r>
          <m:t>d</m:t>
        </m:r>
        <m:r>
          <m:rPr>
            <m:sty m:val="p"/>
          </m:rPr>
          <m:t>−</m:t>
        </m:r>
        <m:r>
          <m:t>M</m:t>
        </m:r>
        <m:r>
          <m:t>a</m:t>
        </m:r>
        <m:r>
          <m:t>y</m:t>
        </m:r>
        <m:r>
          <m:t>b</m:t>
        </m:r>
        <m:r>
          <m:t>e</m:t>
        </m:r>
        <m:r>
          <m:t>f</m:t>
        </m:r>
        <m:r>
          <m:t>o</m:t>
        </m:r>
        <m:r>
          <m:t>r</m:t>
        </m:r>
        <m:r>
          <m:t>e</m:t>
        </m:r>
        <m:r>
          <m:t>s</m:t>
        </m:r>
        <m:r>
          <m:t>t</m:t>
        </m:r>
        <m:r>
          <m:t>a</m:t>
        </m:r>
        <m:r>
          <m:t>g</m:t>
        </m:r>
        <m:r>
          <m:t>i</m:t>
        </m:r>
        <m:r>
          <m:t>n</m:t>
        </m:r>
        <m:r>
          <m:t>g</m:t>
        </m:r>
        <m:r>
          <m:t>a</m:t>
        </m:r>
        <m:r>
          <m:t>s</m:t>
        </m:r>
        <m:r>
          <m:t>t</m:t>
        </m:r>
        <m:r>
          <m:t>e</m:t>
        </m:r>
        <m:r>
          <m:t>a</m:t>
        </m:r>
        <m:r>
          <m:t>d</m:t>
        </m:r>
        <m:r>
          <m:t>y</m:t>
        </m:r>
        <m:r>
          <m:rPr>
            <m:sty m:val="p"/>
          </m:rPr>
          <m:t>,</m:t>
        </m:r>
        <m:r>
          <m:t> </m:t>
        </m:r>
        <m:r>
          <m:t>30</m:t>
        </m:r>
      </m:oMath>
      <w:r>
        <w:t xml:space="preserve">317 heading into tomorrow's report — essentially round-tripping the entire post-Q1 drawdown. That sets up a print where expectations, at least in the share price, have already been rebuilt.</w:t>
      </w:r>
    </w:p>
    <w:p>
      <w:pPr>
        <w:pStyle w:val="BodyText"/>
      </w:pPr>
      <w:r>
        <w:t xml:space="preserve">Importantly, CFO Andrew Krasner and R&amp;B President Lucy Clarke both said the softness looked transitory: our early view is that we returned to normalized growth in April, and when pressed on the magnitude, Clarke confirmed growth in April was mid-single digit or better. That comment is the single most important benchmark for tomorrow's R&amp;B number.</w:t>
      </w:r>
    </w:p>
    <w:p>
      <w:r>
        <w:pict>
          <v:rect style="width:0;height:1.5pt" o:hralign="center" o:hrstd="t" o:hr="t"/>
        </w:pict>
      </w:r>
    </w:p>
    <w:bookmarkEnd w:id="10"/>
    <w:bookmarkStart w:id="11" w:name="what-to-watch-by-segment"/>
    <w:p>
      <w:pPr>
        <w:pStyle w:val="Heading2"/>
      </w:pPr>
      <w:r>
        <w:t xml:space="preserve">What to watch by segment</w:t>
      </w:r>
    </w:p>
    <w:p>
      <w:pPr>
        <w:pStyle w:val="FirstParagraph"/>
      </w:pPr>
      <w:r>
        <w:rPr>
          <w:b/>
          <w:bCs/>
        </w:rPr>
        <w:t xml:space="preserve">Health, Wealth &amp; Career (HWC)</w:t>
      </w:r>
      <w:r>
        <w:t xml:space="preserve"> </w:t>
      </w:r>
      <w:r>
        <w:t xml:space="preserve">— Q1 organic growth was 3%, masking a lot of dispersion: Health +6% (management guiding to high-single-digit for the year on persistent double-digit health-cost inflation), Wealth +4% (guided to the high end of low-single-digit, now getting a boost from the Cushon acquisition, which closed in May 2026, adding to WTW's UK master trust pension business), and Career -3% on Middle East-driven project deferrals and North America pipeline softness. Management flagged three specific tailwinds it expects to show up more in Q2 and beyond: stronger compensation-survey/benchmark product revenue, healthy European/Asian advisory pipelines (EU Pay Transparency, M&amp;A, total rewards work), and early traction in its new AI workforce-transformation offering (WorkVue). Watch whether Career shows sequential improvement, and whether HWC margin (27.3% in Q1, +60bps y/y) keeps expanding.</w:t>
      </w:r>
    </w:p>
    <w:p>
      <w:pPr>
        <w:pStyle w:val="BodyText"/>
      </w:pPr>
      <w:r>
        <w:rPr>
          <w:b/>
          <w:bCs/>
        </w:rPr>
        <w:t xml:space="preserve">Risk &amp; Broking (R&amp;B)</w:t>
      </w:r>
      <w:r>
        <w:t xml:space="preserve"> </w:t>
      </w:r>
      <w:r>
        <w:t xml:space="preserve">— This is the segment investors will scrutinize most. Q1's 2% growth (1% core) was well below the ~9% comp and included a narrowed full-year guide to mid-single-digit. The key question: did the "normalized" April run-rate (mid-single-digit or better, per Lucy Clarke) hold through Q2? Also watch for: (1) continued</w:t>
      </w:r>
      <w:r>
        <w:t xml:space="preserve"> </w:t>
      </w:r>
      <w:r>
        <w:rPr>
          <w:b/>
          <w:bCs/>
        </w:rPr>
        <w:t xml:space="preserve">competitive/softening pricing</w:t>
      </w:r>
      <w:r>
        <w:t xml:space="preserve"> </w:t>
      </w:r>
      <w:r>
        <w:t xml:space="preserve">in large &amp; complex property — corroborated by broader market commentary that commercial P&amp;C premiums fell in Q1 2026 for the first time in nearly nine years after a 33-quarter streak of increases; (2) contribution from strategic hires and the Newfront integration; (3) R&amp;B margin trajectory — Q1 expanded only ~10bps excluding FX/book-of-business/M&amp;A noise, well short of the ~100bps/year target management has reiterated; and (4) ICT, which had its best quarter in a while (+5%) on software/Radar sales.</w:t>
      </w:r>
    </w:p>
    <w:p>
      <w:r>
        <w:pict>
          <v:rect style="width:0;height:1.5pt" o:hralign="center" o:hrstd="t" o:hr="t"/>
        </w:pict>
      </w:r>
    </w:p>
    <w:bookmarkEnd w:id="11"/>
    <w:bookmarkStart w:id="12" w:name="macrocompany-specific-swing-factors"/>
    <w:p>
      <w:pPr>
        <w:pStyle w:val="Heading2"/>
      </w:pPr>
      <w:r>
        <w:t xml:space="preserve">Macro/company-specific swing factors</w:t>
      </w:r>
    </w:p>
    <w:p>
      <w:pPr>
        <w:pStyle w:val="Compact"/>
        <w:numPr>
          <w:ilvl w:val="0"/>
          <w:numId w:val="1001"/>
        </w:numPr>
      </w:pPr>
      <w:r>
        <w:rPr>
          <w:b/>
          <w:bCs/>
        </w:rPr>
        <w:t xml:space="preserve">Middle East escalation.</w:t>
      </w:r>
      <w:r>
        <w:t xml:space="preserve"> </w:t>
      </w:r>
      <w:r>
        <w:t xml:space="preserve">Management called the region one of its "smallest geographies" by exposure, but the conflict backdrop has intensified since the Q1 call (ongoing US–Iran tensions and regional strikes reported through late July), so investors should listen for whether this remains an isolated Career/advisory drag or is broadening into R&amp;B placement activity.</w:t>
      </w:r>
    </w:p>
    <w:p>
      <w:pPr>
        <w:pStyle w:val="Compact"/>
        <w:numPr>
          <w:ilvl w:val="0"/>
          <w:numId w:val="1001"/>
        </w:numPr>
      </w:pPr>
      <w:r>
        <w:rPr>
          <w:b/>
          <w:bCs/>
        </w:rPr>
        <w:t xml:space="preserve">Newfront integration &amp; AI strategy.</w:t>
      </w:r>
      <w:r>
        <w:t xml:space="preserve"> </w:t>
      </w:r>
      <w:r>
        <w:t xml:space="preserve">WTW closed its Newfront acquisition in January 2026 and named Newfront co-founder Spike Lipkin Chief AI Officer. The company is rolling out its AI-powered broking "operating system," Neuron, and integrating Newfront tools (Coverage Gap Analysis, Navigator, Partner Management) into North America first. Newfront is expected to be modestly dilutive (~</w:t>
      </w:r>
      <m:oMath>
        <m:r>
          <m:t>0.10</m:t>
        </m:r>
        <m:r>
          <m:rPr>
            <m:sty m:val="p"/>
          </m:rPr>
          <m:t>)</m:t>
        </m:r>
        <m:r>
          <m:t>t</m:t>
        </m:r>
        <m:r>
          <m:t>o</m:t>
        </m:r>
        <m:r>
          <m:t>2026</m:t>
        </m:r>
        <m:r>
          <m:t>a</m:t>
        </m:r>
        <m:r>
          <m:t>d</m:t>
        </m:r>
        <m:r>
          <m:t>j</m:t>
        </m:r>
        <m:r>
          <m:t>u</m:t>
        </m:r>
        <m:r>
          <m:t>s</m:t>
        </m:r>
        <m:r>
          <m:t>t</m:t>
        </m:r>
        <m:r>
          <m:t>e</m:t>
        </m:r>
        <m:r>
          <m:t>d</m:t>
        </m:r>
        <m:r>
          <m:t>E</m:t>
        </m:r>
        <m:r>
          <m:t>P</m:t>
        </m:r>
        <m:r>
          <m:t>S</m:t>
        </m:r>
        <m:r>
          <m:t>b</m:t>
        </m:r>
        <m:r>
          <m:t>u</m:t>
        </m:r>
        <m:r>
          <m:t>t</m:t>
        </m:r>
        <m:r>
          <m:t>a</m:t>
        </m:r>
        <m:r>
          <m:t>d</m:t>
        </m:r>
        <m:r>
          <m:t>d</m:t>
        </m:r>
        <m:r>
          <m:t>s</m:t>
        </m:r>
        <m:r>
          <m:t> </m:t>
        </m:r>
      </m:oMath>
      <w:r>
        <w:t xml:space="preserve">250M of post-close revenue at a ~26% EBITDA margin — watch for updated integration/synergy commentary.</w:t>
      </w:r>
    </w:p>
    <w:p>
      <w:pPr>
        <w:pStyle w:val="Compact"/>
        <w:numPr>
          <w:ilvl w:val="0"/>
          <w:numId w:val="1001"/>
        </w:numPr>
      </w:pPr>
      <w:r>
        <w:rPr>
          <w:b/>
          <w:bCs/>
        </w:rPr>
        <w:t xml:space="preserve">Portfolio moves.</w:t>
      </w:r>
      <w:r>
        <w:t xml:space="preserve"> </w:t>
      </w:r>
      <w:r>
        <w:t xml:space="preserve">Beyond Newfront and Cushon, WTW closed the Flowstone deal in April and acquired Redefind, a digital-asset/crypto insurance platform, in June — incremental evidence of the specialization/bolt-on M&amp;A strategy continuing.</w:t>
      </w:r>
    </w:p>
    <w:p>
      <w:pPr>
        <w:pStyle w:val="Compact"/>
        <w:numPr>
          <w:ilvl w:val="0"/>
          <w:numId w:val="1001"/>
        </w:numPr>
      </w:pPr>
      <w:r>
        <w:rPr>
          <w:b/>
          <w:bCs/>
        </w:rPr>
        <w:t xml:space="preserve">FX and other EPS puts/takes.</w:t>
      </w:r>
      <w:r>
        <w:t xml:space="preserve"> </w:t>
      </w:r>
      <w:r>
        <w:t xml:space="preserve">Management guided to a ~</w:t>
      </w:r>
      <m:oMath>
        <m:r>
          <m:t>0.35</m:t>
        </m:r>
        <m:r>
          <m:t>f</m:t>
        </m:r>
        <m:r>
          <m:t>u</m:t>
        </m:r>
        <m:r>
          <m:t>l</m:t>
        </m:r>
        <m:r>
          <m:t>l</m:t>
        </m:r>
        <m:r>
          <m:rPr>
            <m:sty m:val="p"/>
          </m:rPr>
          <m:t>−</m:t>
        </m:r>
        <m:r>
          <m:t>y</m:t>
        </m:r>
        <m:r>
          <m:t>e</m:t>
        </m:r>
        <m:r>
          <m:t>a</m:t>
        </m:r>
        <m:r>
          <m:t>r</m:t>
        </m:r>
        <m:r>
          <m:t>F</m:t>
        </m:r>
        <m:r>
          <m:t>X</m:t>
        </m:r>
        <m:r>
          <m:t>t</m:t>
        </m:r>
        <m:r>
          <m:t>a</m:t>
        </m:r>
        <m:r>
          <m:t>i</m:t>
        </m:r>
        <m:r>
          <m:t>l</m:t>
        </m:r>
        <m:r>
          <m:t>w</m:t>
        </m:r>
        <m:r>
          <m:t>i</m:t>
        </m:r>
        <m:r>
          <m:t>n</m:t>
        </m:r>
        <m:r>
          <m:t>d</m:t>
        </m:r>
        <m:r>
          <m:t>t</m:t>
        </m:r>
        <m:r>
          <m:t>o</m:t>
        </m:r>
        <m:r>
          <m:t>a</m:t>
        </m:r>
        <m:r>
          <m:t>d</m:t>
        </m:r>
        <m:r>
          <m:t>j</m:t>
        </m:r>
        <m:r>
          <m:t>u</m:t>
        </m:r>
        <m:r>
          <m:t>s</m:t>
        </m:r>
        <m:r>
          <m:t>t</m:t>
        </m:r>
        <m:r>
          <m:t>e</m:t>
        </m:r>
        <m:r>
          <m:t>d</m:t>
        </m:r>
        <m:r>
          <m:t>E</m:t>
        </m:r>
        <m:r>
          <m:t>P</m:t>
        </m:r>
        <m:r>
          <m:t>S</m:t>
        </m:r>
        <m:r>
          <m:rPr>
            <m:sty m:val="p"/>
          </m:rPr>
          <m:t>(</m:t>
        </m:r>
        <m:r>
          <m:t>w</m:t>
        </m:r>
        <m:r>
          <m:t>i</m:t>
        </m:r>
        <m:r>
          <m:t>t</m:t>
        </m:r>
        <m:r>
          <m:t>h</m:t>
        </m:r>
        <m:r>
          <m:t> </m:t>
        </m:r>
      </m:oMath>
      <w:r>
        <w:t xml:space="preserve">0.25 already realized in Q1 and ~</w:t>
      </w:r>
      <m:oMath>
        <m:r>
          <m:t>0.10</m:t>
        </m:r>
        <m:r>
          <m:t>s</m:t>
        </m:r>
        <m:r>
          <m:t>p</m:t>
        </m:r>
        <m:r>
          <m:t>r</m:t>
        </m:r>
        <m:r>
          <m:t>e</m:t>
        </m:r>
        <m:r>
          <m:t>a</m:t>
        </m:r>
        <m:r>
          <m:t>d</m:t>
        </m:r>
        <m:r>
          <m:t>a</m:t>
        </m:r>
        <m:r>
          <m:t>c</m:t>
        </m:r>
        <m:r>
          <m:t>r</m:t>
        </m:r>
        <m:r>
          <m:t>o</m:t>
        </m:r>
        <m:r>
          <m:t>s</m:t>
        </m:r>
        <m:r>
          <m:t>s</m:t>
        </m:r>
        <m:r>
          <m:t>t</m:t>
        </m:r>
        <m:r>
          <m:t>h</m:t>
        </m:r>
        <m:r>
          <m:t>e</m:t>
        </m:r>
        <m:r>
          <m:t>r</m:t>
        </m:r>
        <m:r>
          <m:t>e</m:t>
        </m:r>
        <m:r>
          <m:t>m</m:t>
        </m:r>
        <m:r>
          <m:t>a</m:t>
        </m:r>
        <m:r>
          <m:t>i</m:t>
        </m:r>
        <m:r>
          <m:t>n</m:t>
        </m:r>
        <m:r>
          <m:t>i</m:t>
        </m:r>
        <m:r>
          <m:t>n</m:t>
        </m:r>
        <m:r>
          <m:t>g</m:t>
        </m:r>
        <m:r>
          <m:t>t</m:t>
        </m:r>
        <m:r>
          <m:t>h</m:t>
        </m:r>
        <m:r>
          <m:t>r</m:t>
        </m:r>
        <m:r>
          <m:t>e</m:t>
        </m:r>
        <m:r>
          <m:t>e</m:t>
        </m:r>
        <m:r>
          <m:t>q</m:t>
        </m:r>
        <m:r>
          <m:t>u</m:t>
        </m:r>
        <m:r>
          <m:t>a</m:t>
        </m:r>
        <m:r>
          <m:t>r</m:t>
        </m:r>
        <m:r>
          <m:t>t</m:t>
        </m:r>
        <m:r>
          <m:t>e</m:t>
        </m:r>
        <m:r>
          <m:t>r</m:t>
        </m:r>
        <m:r>
          <m:t>s</m:t>
        </m:r>
        <m:r>
          <m:rPr>
            <m:sty m:val="p"/>
          </m:rPr>
          <m:t>)</m:t>
        </m:r>
        <m:r>
          <m:rPr>
            <m:sty m:val="p"/>
          </m:rPr>
          <m:t>,</m:t>
        </m:r>
        <m:r>
          <m:t>a</m:t>
        </m:r>
        <m:r>
          <m:t> </m:t>
        </m:r>
      </m:oMath>
      <w:r>
        <w:t xml:space="preserve">0.30 headwind from the Willis Re joint venture, and reiterated share buybacks of "$1.0B or greater" for the year (after $300M repurchased in Q1).</w:t>
      </w:r>
    </w:p>
    <w:p>
      <w:pPr>
        <w:pStyle w:val="Compact"/>
        <w:numPr>
          <w:ilvl w:val="0"/>
          <w:numId w:val="1001"/>
        </w:numPr>
      </w:pPr>
      <w:r>
        <w:rPr>
          <w:b/>
          <w:bCs/>
        </w:rPr>
        <w:t xml:space="preserve">Margin/cash flow discipline.</w:t>
      </w:r>
      <w:r>
        <w:t xml:space="preserve"> </w:t>
      </w:r>
      <w:r>
        <w:t xml:space="preserve">Enterprise adjusted operating margin expanded 70bps in Q1 to 22.3%; free cash flow was still negative $65M in Q1 (an improvement of $21M y/y), with management continuing to guide to full-year FCF margin expansion — a metric that typically inflects seasonally later in the year.</w:t>
      </w:r>
    </w:p>
    <w:p>
      <w:r>
        <w:pict>
          <v:rect style="width:0;height:1.5pt" o:hralign="center" o:hrstd="t" o:hr="t"/>
        </w:pict>
      </w:r>
    </w:p>
    <w:bookmarkEnd w:id="12"/>
    <w:bookmarkStart w:id="13" w:name="sentiment-and-positioning-into-the-print"/>
    <w:p>
      <w:pPr>
        <w:pStyle w:val="Heading2"/>
      </w:pPr>
      <w:r>
        <w:t xml:space="preserve">Sentiment and positioning into the print</w:t>
      </w:r>
    </w:p>
    <w:p>
      <w:pPr>
        <w:pStyle w:val="FirstParagraph"/>
      </w:pPr>
      <w:r>
        <w:t xml:space="preserve">Analyst opinion is split but has been trending more constructive over the last quarter. Recent moves include Citigroup upgrading to Buy, Wells Fargo raising its target to $341 (Overweight), Piper Sandler raising to $317, Mizuho reiterating Buy at $361, and BofA nudging its target up to $360 while keeping a Neutral rating — against more cautious calls from Morgan Stanley (Equal Weight, $320) and Barclays (Equal Weight, cut to $303). The resulting consensus is a "Moderate Buy" with an average 12-month target near $352, implying modest upside from current levels even after the recent rally. Zacks currently carries a neutral Rank #3 on the stock but a positive Earnings ESP, a combination it associates with a higher probability of a quarterly beat.</w:t>
      </w:r>
    </w:p>
    <w:p>
      <w:r>
        <w:pict>
          <v:rect style="width:0;height:1.5pt" o:hralign="center" o:hrstd="t" o:hr="t"/>
        </w:pict>
      </w:r>
    </w:p>
    <w:bookmarkEnd w:id="13"/>
    <w:bookmarkStart w:id="14" w:name="bottom-line-for-investors"/>
    <w:p>
      <w:pPr>
        <w:pStyle w:val="Heading2"/>
      </w:pPr>
      <w:r>
        <w:t xml:space="preserve">Bottom line for investors</w:t>
      </w:r>
    </w:p>
    <w:p>
      <w:pPr>
        <w:pStyle w:val="FirstParagraph"/>
      </w:pPr>
      <w:r>
        <w:t xml:space="preserve">The setup into Q2 is somewhat unusual: fundamentals (organic growth, R&amp;B pricing, margin cadence) look only incrementally better than the weak Q1, but the stock has already rallied back to pre-Q1-selloff levels, raising the bar for a "beat and raise" reaction. The most market-moving data points will likely be: (1) whether R&amp;B organic growth actually reaccelerated to the "mid-single-digit or better" level management pointed to for April; (2) whether full-year guidance (mid-single-digit organic growth in both segments, ~100bps of average annual R&amp;B margin expansion) is reaffirmed, raised, or trimmed again; and (3) any incremental commentary on Middle East exposure given the escalation in the region since the last call. Newfront/AI integration updates and capital-return pacing (buybacks) round out the list of secondary but still relevant catalysts.</w:t>
      </w:r>
    </w:p>
    <w:bookmarkEnd w:id="14"/>
    <w:bookmarkEnd w:id="15"/>
    <w:sectPr>
      <w:footnotePr>
        <w:numRestart w:val="eachSect"/>
      </w:footnotePr>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numId="1000">
    <w:abstractNumId w:val="990"/>
  </w:num>
  <w:num w:numId="1001">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drawingGridHorizontalSpacing w:val="360"/>
  <w:drawingGridVerticalSpacing w:val="360"/>
  <w:displayHorizontalDrawingGridEvery w:val="0"/>
  <w:displayVerticalDrawingGridEvery w:val="0"/>
  <w:characterSpacingControl w:val="doNotCompress"/>
  <w:savePreviewPicture/>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EastAsia" w:hAnsiTheme="minorHAnsi"/>
        <w:sz w:val="24"/>
        <w:szCs w:val="24"/>
        <w:lang w:bidi="ar-SA" w:eastAsia="zh-CN"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qFormat/>
    <w:pPr>
      <w:spacing w:after="180" w:before="180"/>
    </w:pPr>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link w:val="TitleChar"/>
    <w:uiPriority w:val="10"/>
    <w:qFormat/>
    <w:rsid w:val="00A10FD9"/>
    <w:pPr>
      <w:spacing w:after="80" w:line="240" w:lineRule="auto"/>
      <w:contextualSpacing/>
      <w:jc w:val="center"/>
    </w:pPr>
    <w:rPr>
      <w:rFonts w:asciiTheme="majorHAnsi" w:cstheme="majorBidi" w:eastAsiaTheme="majorEastAsia" w:hAnsiTheme="majorHAnsi"/>
      <w:sz w:val="56"/>
      <w:szCs w:val="56"/>
    </w:rPr>
  </w:style>
  <w:style w:customStyle="1" w:styleId="TitleChar" w:type="character">
    <w:name w:val="Title Char"/>
    <w:basedOn w:val="DefaultParagraphFont"/>
    <w:link w:val="Title"/>
    <w:uiPriority w:val="10"/>
    <w:rsid w:val="00A10FD9"/>
    <w:rPr>
      <w:rFonts w:asciiTheme="majorHAnsi" w:cstheme="majorBidi" w:eastAsiaTheme="majorEastAsia" w:hAnsiTheme="majorHAnsi"/>
      <w:sz w:val="56"/>
      <w:szCs w:val="56"/>
    </w:rPr>
  </w:style>
  <w:style w:styleId="Subtitle" w:type="paragraph">
    <w:name w:val="Subtitle"/>
    <w:basedOn w:val="Title"/>
    <w:next w:val="BodyText"/>
    <w:link w:val="SubtitleChar"/>
    <w:uiPriority w:val="11"/>
    <w:qFormat/>
    <w:rsid w:val="00A10FD9"/>
    <w:pPr>
      <w:numPr>
        <w:ilvl w:val="1"/>
      </w:numPr>
    </w:pPr>
    <w:rPr>
      <w:rFonts w:cstheme="majorBidi" w:eastAsiaTheme="majorEastAsia"/>
      <w:spacing w:val="15"/>
      <w:sz w:val="28"/>
      <w:szCs w:val="28"/>
    </w:rPr>
  </w:style>
  <w:style w:customStyle="1" w:styleId="SubtitleChar" w:type="character">
    <w:name w:val="Subtitle Char"/>
    <w:basedOn w:val="DefaultParagraphFont"/>
    <w:link w:val="Subtitle"/>
    <w:uiPriority w:val="11"/>
    <w:rsid w:val="00A10FD9"/>
    <w:rPr>
      <w:rFonts w:cstheme="majorBidi" w:eastAsiaTheme="majorEastAsia"/>
      <w:color w:themeColor="text1" w:themeTint="A6" w:val="595959"/>
      <w:spacing w:val="15"/>
      <w:sz w:val="28"/>
      <w:szCs w:val="28"/>
    </w:rPr>
  </w:style>
  <w:style w:customStyle="1" w:styleId="Author" w:type="paragraph">
    <w:name w:val="Author"/>
    <w:basedOn w:val="Title"/>
    <w:next w:val="BodyText"/>
    <w:qFormat/>
    <w:pPr>
      <w:keepNext/>
      <w:keepLines/>
    </w:pPr>
    <w:rPr>
      <w:sz w:val="24"/>
      <w:szCs w:val="24"/>
    </w:rPr>
  </w:style>
  <w:style w:styleId="Date" w:type="paragraph">
    <w:name w:val="Date"/>
    <w:basedOn w:val="Title"/>
    <w:next w:val="BodyText"/>
    <w:qFormat/>
    <w:pPr>
      <w:keepNext/>
      <w:keepLines/>
    </w:pPr>
    <w:rPr>
      <w:sz w:val="24"/>
      <w:szCs w:val="24"/>
    </w:rPr>
  </w:style>
  <w:style w:customStyle="1" w:styleId="AbstractTitle" w:type="paragraph">
    <w:name w:val="Abstract Title"/>
    <w:basedOn w:val="Normal"/>
    <w:next w:val="Abstract"/>
    <w:qFormat/>
    <w:pPr>
      <w:keepNext/>
      <w:keepLines/>
      <w:spacing w:after="0" w:before="300"/>
      <w:jc w:val="center"/>
    </w:pPr>
    <w:rPr>
      <w:b/>
      <w:sz w:val="20"/>
      <w:szCs w:val="20"/>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link w:val="Heading1Char"/>
    <w:uiPriority w:val="9"/>
    <w:qFormat/>
    <w:rsid w:val="00A10FD9"/>
    <w:pPr>
      <w:keepNext/>
      <w:keepLines/>
      <w:spacing w:after="80" w:before="360"/>
      <w:outlineLvl w:val="0"/>
    </w:pPr>
    <w:rPr>
      <w:rFonts w:asciiTheme="majorHAnsi" w:cstheme="majorBidi" w:eastAsiaTheme="majorEastAsia" w:hAnsiTheme="majorHAnsi"/>
      <w:color w:themeColor="accent1" w:themeShade="BF" w:val="0F4761"/>
      <w:sz w:val="40"/>
      <w:szCs w:val="40"/>
    </w:rPr>
  </w:style>
  <w:style w:styleId="Heading2" w:type="paragraph">
    <w:name w:val="heading 2"/>
    <w:basedOn w:val="Normal"/>
    <w:next w:val="BodyText"/>
    <w:link w:val="Heading2Char"/>
    <w:uiPriority w:val="9"/>
    <w:semiHidden/>
    <w:unhideWhenUsed/>
    <w:qFormat/>
    <w:rsid w:val="00A10FD9"/>
    <w:pPr>
      <w:keepNext/>
      <w:keepLines/>
      <w:spacing w:after="80" w:before="160"/>
      <w:outlineLvl w:val="1"/>
    </w:pPr>
    <w:rPr>
      <w:rFonts w:asciiTheme="majorHAnsi" w:cstheme="majorBidi" w:eastAsiaTheme="majorEastAsia" w:hAnsiTheme="majorHAnsi"/>
      <w:color w:themeColor="accent1" w:themeShade="BF" w:val="0F4761"/>
      <w:sz w:val="32"/>
      <w:szCs w:val="32"/>
    </w:rPr>
  </w:style>
  <w:style w:styleId="Heading3" w:type="paragraph">
    <w:name w:val="heading 3"/>
    <w:basedOn w:val="Normal"/>
    <w:next w:val="BodyText"/>
    <w:link w:val="Heading3Char"/>
    <w:uiPriority w:val="9"/>
    <w:semiHidden/>
    <w:unhideWhenUsed/>
    <w:qFormat/>
    <w:rsid w:val="00A10FD9"/>
    <w:pPr>
      <w:keepNext/>
      <w:keepLines/>
      <w:spacing w:after="80" w:before="160"/>
      <w:outlineLvl w:val="2"/>
    </w:pPr>
    <w:rPr>
      <w:rFonts w:cstheme="majorBidi" w:eastAsiaTheme="majorEastAsia"/>
      <w:color w:themeColor="accent1" w:themeShade="BF" w:val="0F4761"/>
      <w:sz w:val="28"/>
      <w:szCs w:val="28"/>
    </w:rPr>
  </w:style>
  <w:style w:styleId="Heading4" w:type="paragraph">
    <w:name w:val="heading 4"/>
    <w:basedOn w:val="Normal"/>
    <w:next w:val="BodyText"/>
    <w:link w:val="Heading4Char"/>
    <w:uiPriority w:val="9"/>
    <w:semiHidden/>
    <w:unhideWhenUsed/>
    <w:qFormat/>
    <w:rsid w:val="00A10FD9"/>
    <w:pPr>
      <w:keepNext/>
      <w:keepLines/>
      <w:spacing w:after="40" w:before="80"/>
      <w:outlineLvl w:val="3"/>
    </w:pPr>
    <w:rPr>
      <w:rFonts w:cstheme="majorBidi" w:eastAsiaTheme="majorEastAsia"/>
      <w:i/>
      <w:iCs/>
      <w:color w:themeColor="accent1" w:themeShade="BF" w:val="0F4761"/>
    </w:rPr>
  </w:style>
  <w:style w:styleId="Heading5" w:type="paragraph">
    <w:name w:val="heading 5"/>
    <w:basedOn w:val="Normal"/>
    <w:next w:val="BodyText"/>
    <w:link w:val="Heading5Char"/>
    <w:uiPriority w:val="9"/>
    <w:semiHidden/>
    <w:unhideWhenUsed/>
    <w:qFormat/>
    <w:rsid w:val="00A10FD9"/>
    <w:pPr>
      <w:keepNext/>
      <w:keepLines/>
      <w:spacing w:after="40" w:before="80"/>
      <w:outlineLvl w:val="4"/>
    </w:pPr>
    <w:rPr>
      <w:rFonts w:cstheme="majorBidi" w:eastAsiaTheme="majorEastAsia"/>
      <w:color w:themeColor="accent1" w:themeShade="BF" w:val="0F4761"/>
    </w:rPr>
  </w:style>
  <w:style w:styleId="Heading6" w:type="paragraph">
    <w:name w:val="heading 6"/>
    <w:basedOn w:val="Normal"/>
    <w:next w:val="BodyText"/>
    <w:link w:val="Heading6Char"/>
    <w:uiPriority w:val="9"/>
    <w:semiHidden/>
    <w:unhideWhenUsed/>
    <w:qFormat/>
    <w:rsid w:val="00A10FD9"/>
    <w:pPr>
      <w:keepNext/>
      <w:keepLines/>
      <w:spacing w:after="0" w:before="40"/>
      <w:outlineLvl w:val="5"/>
    </w:pPr>
    <w:rPr>
      <w:rFonts w:cstheme="majorBidi" w:eastAsiaTheme="majorEastAsia"/>
      <w:i/>
      <w:iCs/>
      <w:color w:themeColor="text1" w:themeTint="A6" w:val="595959"/>
    </w:rPr>
  </w:style>
  <w:style w:styleId="Heading7" w:type="paragraph">
    <w:name w:val="heading 7"/>
    <w:basedOn w:val="Normal"/>
    <w:next w:val="BodyText"/>
    <w:link w:val="Heading7Char"/>
    <w:uiPriority w:val="9"/>
    <w:semiHidden/>
    <w:unhideWhenUsed/>
    <w:qFormat/>
    <w:rsid w:val="00A10FD9"/>
    <w:pPr>
      <w:keepNext/>
      <w:keepLines/>
      <w:spacing w:after="0" w:before="40"/>
      <w:outlineLvl w:val="6"/>
    </w:pPr>
    <w:rPr>
      <w:rFonts w:cstheme="majorBidi" w:eastAsiaTheme="majorEastAsia"/>
      <w:color w:themeColor="text1" w:themeTint="A6" w:val="595959"/>
    </w:rPr>
  </w:style>
  <w:style w:styleId="Heading8" w:type="paragraph">
    <w:name w:val="heading 8"/>
    <w:basedOn w:val="Normal"/>
    <w:next w:val="BodyText"/>
    <w:link w:val="Heading8Char"/>
    <w:uiPriority w:val="9"/>
    <w:semiHidden/>
    <w:unhideWhenUsed/>
    <w:qFormat/>
    <w:rsid w:val="00A10FD9"/>
    <w:pPr>
      <w:keepNext/>
      <w:keepLines/>
      <w:spacing w:after="0"/>
      <w:outlineLvl w:val="7"/>
    </w:pPr>
    <w:rPr>
      <w:rFonts w:cstheme="majorBidi" w:eastAsiaTheme="majorEastAsia"/>
      <w:i/>
      <w:iCs/>
      <w:color w:themeColor="text1" w:themeTint="D8" w:val="272727"/>
    </w:rPr>
  </w:style>
  <w:style w:styleId="Heading9" w:type="paragraph">
    <w:name w:val="heading 9"/>
    <w:basedOn w:val="Normal"/>
    <w:next w:val="BodyText"/>
    <w:link w:val="Heading9Char"/>
    <w:uiPriority w:val="9"/>
    <w:semiHidden/>
    <w:unhideWhenUsed/>
    <w:qFormat/>
    <w:rsid w:val="00A10FD9"/>
    <w:pPr>
      <w:keepNext/>
      <w:keepLines/>
      <w:spacing w:after="0"/>
      <w:outlineLvl w:val="8"/>
    </w:pPr>
    <w:rPr>
      <w:rFonts w:cstheme="majorBidi" w:eastAsiaTheme="majorEastAsia"/>
      <w:color w:themeColor="text1" w:themeTint="D8" w:val="272727"/>
    </w:rPr>
  </w:style>
  <w:style w:customStyle="1" w:styleId="Heading1Char" w:type="character">
    <w:name w:val="Heading 1 Char"/>
    <w:basedOn w:val="DefaultParagraphFont"/>
    <w:link w:val="Heading1"/>
    <w:uiPriority w:val="9"/>
    <w:rsid w:val="00A10FD9"/>
    <w:rPr>
      <w:rFonts w:asciiTheme="majorHAnsi" w:cstheme="majorBidi" w:eastAsiaTheme="majorEastAsia" w:hAnsiTheme="majorHAnsi"/>
      <w:color w:themeColor="accent1" w:themeShade="BF" w:val="0F4761"/>
      <w:sz w:val="40"/>
      <w:szCs w:val="40"/>
    </w:rPr>
  </w:style>
  <w:style w:customStyle="1" w:styleId="Heading2Char" w:type="character">
    <w:name w:val="Heading 2 Char"/>
    <w:basedOn w:val="DefaultParagraphFont"/>
    <w:link w:val="Heading2"/>
    <w:uiPriority w:val="9"/>
    <w:semiHidden/>
    <w:rsid w:val="00A10FD9"/>
    <w:rPr>
      <w:rFonts w:asciiTheme="majorHAnsi" w:cstheme="majorBidi" w:eastAsiaTheme="majorEastAsia" w:hAnsiTheme="majorHAnsi"/>
      <w:color w:themeColor="accent1" w:themeShade="BF" w:val="0F4761"/>
      <w:sz w:val="32"/>
      <w:szCs w:val="32"/>
    </w:rPr>
  </w:style>
  <w:style w:customStyle="1" w:styleId="Heading3Char" w:type="character">
    <w:name w:val="Heading 3 Char"/>
    <w:basedOn w:val="DefaultParagraphFont"/>
    <w:link w:val="Heading3"/>
    <w:uiPriority w:val="9"/>
    <w:semiHidden/>
    <w:rsid w:val="00A10FD9"/>
    <w:rPr>
      <w:rFonts w:cstheme="majorBidi" w:eastAsiaTheme="majorEastAsia"/>
      <w:color w:themeColor="accent1" w:themeShade="BF" w:val="0F4761"/>
      <w:sz w:val="28"/>
      <w:szCs w:val="28"/>
    </w:rPr>
  </w:style>
  <w:style w:customStyle="1" w:styleId="Heading4Char" w:type="character">
    <w:name w:val="Heading 4 Char"/>
    <w:basedOn w:val="DefaultParagraphFont"/>
    <w:link w:val="Heading4"/>
    <w:uiPriority w:val="9"/>
    <w:semiHidden/>
    <w:rsid w:val="00A10FD9"/>
    <w:rPr>
      <w:rFonts w:cstheme="majorBidi" w:eastAsiaTheme="majorEastAsia"/>
      <w:i/>
      <w:iCs/>
      <w:color w:themeColor="accent1" w:themeShade="BF" w:val="0F4761"/>
    </w:rPr>
  </w:style>
  <w:style w:customStyle="1" w:styleId="Heading5Char" w:type="character">
    <w:name w:val="Heading 5 Char"/>
    <w:basedOn w:val="DefaultParagraphFont"/>
    <w:link w:val="Heading5"/>
    <w:uiPriority w:val="9"/>
    <w:semiHidden/>
    <w:rsid w:val="00A10FD9"/>
    <w:rPr>
      <w:rFonts w:cstheme="majorBidi" w:eastAsiaTheme="majorEastAsia"/>
      <w:color w:themeColor="accent1" w:themeShade="BF" w:val="0F4761"/>
    </w:rPr>
  </w:style>
  <w:style w:customStyle="1" w:styleId="Heading6Char" w:type="character">
    <w:name w:val="Heading 6 Char"/>
    <w:basedOn w:val="DefaultParagraphFont"/>
    <w:link w:val="Heading6"/>
    <w:uiPriority w:val="9"/>
    <w:semiHidden/>
    <w:rsid w:val="00A10FD9"/>
    <w:rPr>
      <w:rFonts w:cstheme="majorBidi" w:eastAsiaTheme="majorEastAsia"/>
      <w:i/>
      <w:iCs/>
      <w:color w:themeColor="text1" w:themeTint="A6" w:val="595959"/>
    </w:rPr>
  </w:style>
  <w:style w:customStyle="1" w:styleId="Heading7Char" w:type="character">
    <w:name w:val="Heading 7 Char"/>
    <w:basedOn w:val="DefaultParagraphFont"/>
    <w:link w:val="Heading7"/>
    <w:uiPriority w:val="9"/>
    <w:semiHidden/>
    <w:rsid w:val="00A10FD9"/>
    <w:rPr>
      <w:rFonts w:cstheme="majorBidi" w:eastAsiaTheme="majorEastAsia"/>
      <w:color w:themeColor="text1" w:themeTint="A6" w:val="595959"/>
    </w:rPr>
  </w:style>
  <w:style w:customStyle="1" w:styleId="Heading8Char" w:type="character">
    <w:name w:val="Heading 8 Char"/>
    <w:basedOn w:val="DefaultParagraphFont"/>
    <w:link w:val="Heading8"/>
    <w:uiPriority w:val="9"/>
    <w:semiHidden/>
    <w:rsid w:val="00A10FD9"/>
    <w:rPr>
      <w:rFonts w:cstheme="majorBidi" w:eastAsiaTheme="majorEastAsia"/>
      <w:i/>
      <w:iCs/>
      <w:color w:themeColor="text1" w:themeTint="D8" w:val="272727"/>
    </w:rPr>
  </w:style>
  <w:style w:customStyle="1" w:styleId="Heading9Char" w:type="character">
    <w:name w:val="Heading 9 Char"/>
    <w:basedOn w:val="DefaultParagraphFont"/>
    <w:link w:val="Heading9"/>
    <w:uiPriority w:val="9"/>
    <w:semiHidden/>
    <w:rsid w:val="00A10FD9"/>
    <w:rPr>
      <w:rFonts w:cstheme="majorBidi" w:eastAsiaTheme="majorEastAsia"/>
      <w:color w:themeColor="text1" w:themeTint="D8" w:val="272727"/>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styleId="FootnoteBlockText" w:type="paragraph">
    <w:name w:val="Footnote Block Text"/>
    <w:basedOn w:val="FootnoteText"/>
    <w:next w:val="FootnoteText"/>
    <w:uiPriority w:val="9"/>
    <w:unhideWhenUsed/>
    <w:qFormat/>
    <w:pPr>
      <w:spacing w:after="100" w:before="100"/>
      <w:ind w:firstLine="0" w:left="480" w:right="480"/>
    </w:pPr>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cPr>
        <w:tcBorders>
          <w:bottom w:val="single"/>
        </w:tcBorders>
        <w:vAlign w:val="bottom"/>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8" Target="numbering.xml" /><Relationship Type="http://schemas.openxmlformats.org/officeDocument/2006/relationships/styles" Id="rId7" Target="styles.xml" /><Relationship Type="http://schemas.openxmlformats.org/officeDocument/2006/relationships/settings" Id="rId6" Target="settings.xml" /><Relationship Type="http://schemas.openxmlformats.org/officeDocument/2006/relationships/webSettings" Id="rId5" Target="webSettings.xml" /><Relationship Type="http://schemas.openxmlformats.org/officeDocument/2006/relationships/fontTable" Id="rId4" Target="fontTable.xml" /><Relationship Type="http://schemas.openxmlformats.org/officeDocument/2006/relationships/theme" Id="rId3" Target="theme/theme1.xml" /><Relationship Type="http://schemas.openxmlformats.org/officeDocument/2006/relationships/footnotes" Id="rId2" Target="footnotes.xml" /><Relationship Type="http://schemas.openxmlformats.org/officeDocument/2006/relationships/comments" Id="rId1"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2026-07-29T18:24:50Z</dcterms:created>
  <dcterms:modified xsi:type="dcterms:W3CDTF">2026-07-29T18:24:50Z</dcterms:modified>
</cp:coreProperties>
</file>

<file path=docProps/custom.xml><?xml version="1.0" encoding="utf-8"?>
<Properties xmlns="http://schemas.openxmlformats.org/officeDocument/2006/custom-properties" xmlns:vt="http://schemas.openxmlformats.org/officeDocument/2006/docPropsVTypes"/>
</file>