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tw-earnings-predictions--2026-07-30"/>
    <w:p>
      <w:pPr>
        <w:pStyle w:val="Heading1"/>
      </w:pPr>
      <w:r>
        <w:t xml:space="preserve">WTW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~$3.20 vs. cons $3.12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Organic revenue growth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~4.0% vs. cons 5.0%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Risk &amp; Broking organic revenue growth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~5.0% vs. cons 5.0%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Enterprise organic revenue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~5.0% vs. cons 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Risk &amp; Broking organic revenue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~5.0% vs. cons 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Risk &amp; Broking adjusted operating margin expansion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~100 bps vs. cons 100 bps (2026–2027 average annual expansion)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Foreign-exchange adjusted EPS tailwind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~$0.40 vs. cons $0.35 (FY2026)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Share repurchases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≥~$1.0B vs. cons $1.0B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-3.5%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-4.8% (FOLLOW-THROUGH)</w:t>
            </w:r>
          </w:p>
        </w:tc>
        <w:tc>
          <w:tcPr/>
          <w:p>
            <w:pPr>
              <w:pStyle w:val="Compact"/>
            </w:pPr>
            <w:r>
              <w:t xml:space="preserve">A predicted 4.0% organic result versus 5.0% consensus would leave first-half growth near 3.5% and require roughly 6.0% second-half growth to deliver the reiterated ~5.0% FY2026 objective. That back-loaded out-period math should pressure FY2026–FY2027 revenue estimates after an initial EPS beat, extending the negative residual move.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2026-07-29T18:21:11Z</dcterms:created>
  <dcterms:modified xsi:type="dcterms:W3CDTF">2026-07-29T18:21:11Z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