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8" w:name="wtw-q2-2026-earnings-preview"/>
    <w:p>
      <w:pPr>
        <w:pStyle w:val="Heading1"/>
      </w:pPr>
      <w:r>
        <w:t xml:space="preserve">WTW Q2 2026 Earnings Preview</w:t>
      </w:r>
    </w:p>
    <w:p>
      <w:pPr>
        <w:pStyle w:val="FirstParagraph"/>
      </w:pPr>
      <w:r>
        <w:rPr>
          <w:b/>
          <w:bCs/>
        </w:rPr>
        <w:t xml:space="preserve">Reporting:</w:t>
      </w:r>
      <w:r>
        <w:t xml:space="preserve"> </w:t>
      </w:r>
      <w:r>
        <w:t xml:space="preserve">Thursday, July 30, 2026, before the market opens</w:t>
      </w:r>
      <w:r>
        <w:br/>
      </w:r>
      <w:r>
        <w:rPr>
          <w:b/>
          <w:bCs/>
        </w:rPr>
        <w:t xml:space="preserve">Conference call:</w:t>
      </w:r>
      <w:r>
        <w:t xml:space="preserve"> </w:t>
      </w:r>
      <w:r>
        <w:t xml:space="preserve">9:00 a.m. ET (</w:t>
      </w:r>
      <w:hyperlink r:id="rId9">
        <w:r>
          <w:rPr>
            <w:rStyle w:val="Hyperlink"/>
          </w:rPr>
          <w:t xml:space="preserve">investors.wtwco.com</w:t>
        </w:r>
      </w:hyperlink>
      <w:r>
        <w:t xml:space="preserve">)</w:t>
      </w:r>
    </w:p>
    <w:bookmarkStart w:id="10" w:name="investment-view-going-into-the-quarter"/>
    <w:p>
      <w:pPr>
        <w:pStyle w:val="Heading2"/>
      </w:pPr>
      <w:r>
        <w:t xml:space="preserve">Investment view going into the quarter</w:t>
      </w:r>
    </w:p>
    <w:p>
      <w:pPr>
        <w:pStyle w:val="FirstParagraph"/>
      </w:pPr>
      <w:r>
        <w:t xml:space="preserve">WTW’s second-quarter report is primarily a</w:t>
      </w:r>
      <w:r>
        <w:t xml:space="preserve"> </w:t>
      </w:r>
      <w:r>
        <w:rPr>
          <w:b/>
          <w:bCs/>
        </w:rPr>
        <w:t xml:space="preserve">test of revenue reacceleration</w:t>
      </w:r>
      <w:r>
        <w:t xml:space="preserve">, not cost control. First-quarter organic growth slowed to 3%, including only 2% in Risk &amp; Broking, but management said R&amp;B returned to “mid-single-digit or better” growth in April. Investors will want evidence that this improvement persisted through May and June.</w:t>
      </w:r>
    </w:p>
    <w:p>
      <w:pPr>
        <w:pStyle w:val="BodyText"/>
      </w:pPr>
      <w:r>
        <w:t xml:space="preserve">The margin story remains comparatively strong: WTW expanded adjusted operating margin by 70 basis points in Q1 despite softer revenue. The key question is whether the company can now pair that discipline with healthier organic growth.</w:t>
      </w:r>
    </w:p>
    <w:p>
      <w:pPr>
        <w:pStyle w:val="BodyText"/>
      </w:pPr>
      <w:r>
        <w:t xml:space="preserve">The stock has already recovered much of its post-Q1 decline. It closed July 29 at approximately</w:t>
      </w:r>
      <w:r>
        <w:t xml:space="preserve"> </w:t>
      </w:r>
      <w:r>
        <w:rPr>
          <w:b/>
          <w:bCs/>
        </w:rPr>
        <w:t xml:space="preserve">$317</w:t>
      </w:r>
      <w:r>
        <w:t xml:space="preserve">, about 24% above its April 30 close and only 3.5% below year-end 2025. Consequently, an EPS beat driven mainly by buybacks, currency or a low tax rate may not be enough; the market is likely to focus on</w:t>
      </w:r>
      <w:r>
        <w:t xml:space="preserve"> </w:t>
      </w:r>
      <w:r>
        <w:rPr>
          <w:b/>
          <w:bCs/>
        </w:rPr>
        <w:t xml:space="preserve">organic growth quality, R&amp;B momentum and management’s full-year confidence</w:t>
      </w:r>
      <w:r>
        <w:t xml:space="preserve">.</w:t>
      </w:r>
    </w:p>
    <w:bookmarkEnd w:id="10"/>
    <w:bookmarkStart w:id="13" w:name="expectations-and-comparison-points"/>
    <w:p>
      <w:pPr>
        <w:pStyle w:val="Heading2"/>
      </w:pPr>
      <w:r>
        <w:t xml:space="preserve">Expectations and comparison points</w:t>
      </w:r>
    </w:p>
    <w:p>
      <w:pPr>
        <w:pStyle w:val="FirstParagraph"/>
      </w:pPr>
      <w:r>
        <w:t xml:space="preserve">Published estimate snapshots cluster around</w:t>
      </w:r>
      <w:r>
        <w:t xml:space="preserve"> </w:t>
      </w:r>
      <m:oMath>
        <m:r>
          <m:t>3.12</m:t>
        </m:r>
        <m:r>
          <m:rPr>
            <m:sty m:val="p"/>
          </m:rPr>
          <m:t>–</m:t>
        </m:r>
      </m:oMath>
      <w:r>
        <w:rPr>
          <w:b/>
          <w:bCs/>
        </w:rPr>
        <w:t xml:space="preserve">3.15 of adjusted EPS</w:t>
      </w:r>
      <w:r>
        <w:t xml:space="preserve"> </w:t>
      </w:r>
      <w:r>
        <w:t xml:space="preserve">and</w:t>
      </w:r>
      <w:r>
        <w:t xml:space="preserve"> </w:t>
      </w:r>
      <m:oMath>
        <m:r>
          <m:t>2.41</m:t>
        </m:r>
        <m:r>
          <m:rPr>
            <m:sty m:val="p"/>
          </m:rPr>
          <m:t>–</m:t>
        </m:r>
      </m:oMath>
      <w:r>
        <w:rPr>
          <w:b/>
          <w:bCs/>
        </w:rPr>
        <w:t xml:space="preserve">2.45 billion of revenue</w:t>
      </w:r>
      <w:r>
        <w:t xml:space="preserve">. Using $3.12 and $2.41 billion as central benchmarks implies approximately 9% adjusted EPS growth and 7% reported revenue growth from Q2 2025. (</w:t>
      </w:r>
      <w:hyperlink r:id="rId11">
        <w:r>
          <w:rPr>
            <w:rStyle w:val="Hyperlink"/>
          </w:rPr>
          <w:t xml:space="preserve">benzinga.com</w:t>
        </w:r>
      </w:hyperlink>
      <w:r>
        <w:t xml:space="preserve">)</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Metric</w:t>
            </w:r>
          </w:p>
        </w:tc>
        <w:tc>
          <w:tcPr/>
          <w:p>
            <w:pPr>
              <w:pStyle w:val="Compact"/>
              <w:jc w:val="right"/>
            </w:pPr>
            <w:r>
              <w:t xml:space="preserve">Q2 2026 benchmark</w:t>
            </w:r>
          </w:p>
        </w:tc>
        <w:tc>
          <w:tcPr/>
          <w:p>
            <w:pPr>
              <w:pStyle w:val="Compact"/>
              <w:jc w:val="right"/>
            </w:pPr>
            <w:r>
              <w:t xml:space="preserve">Q2 2025 actual</w:t>
            </w:r>
          </w:p>
        </w:tc>
        <w:tc>
          <w:tcPr/>
          <w:p>
            <w:pPr>
              <w:pStyle w:val="Compact"/>
              <w:jc w:val="right"/>
            </w:pPr>
            <w:r>
              <w:t xml:space="preserve">Implied change</w:t>
            </w:r>
          </w:p>
        </w:tc>
      </w:tr>
      <w:tr>
        <w:tc>
          <w:tcPr/>
          <w:p>
            <w:pPr>
              <w:pStyle w:val="Compact"/>
            </w:pPr>
            <w:r>
              <w:t xml:space="preserve">Revenue</w:t>
            </w:r>
          </w:p>
        </w:tc>
        <w:tc>
          <w:tcPr/>
          <w:p>
            <w:pPr>
              <w:pStyle w:val="Compact"/>
              <w:jc w:val="right"/>
            </w:pPr>
            <w:r>
              <w:t xml:space="preserve">~$2.41B central estimate</w:t>
            </w:r>
          </w:p>
        </w:tc>
        <w:tc>
          <w:tcPr/>
          <w:p>
            <w:pPr>
              <w:pStyle w:val="Compact"/>
              <w:jc w:val="right"/>
            </w:pPr>
            <w:r>
              <w:t xml:space="preserve">$2.261B</w:t>
            </w:r>
          </w:p>
        </w:tc>
        <w:tc>
          <w:tcPr/>
          <w:p>
            <w:pPr>
              <w:pStyle w:val="Compact"/>
              <w:jc w:val="right"/>
            </w:pPr>
            <w:r>
              <w:t xml:space="preserve">~7%</w:t>
            </w:r>
          </w:p>
        </w:tc>
      </w:tr>
      <w:tr>
        <w:tc>
          <w:tcPr/>
          <w:p>
            <w:pPr>
              <w:pStyle w:val="Compact"/>
            </w:pPr>
            <w:r>
              <w:t xml:space="preserve">Adjusted diluted EPS</w:t>
            </w:r>
          </w:p>
        </w:tc>
        <w:tc>
          <w:tcPr/>
          <w:p>
            <w:pPr>
              <w:pStyle w:val="Compact"/>
              <w:jc w:val="right"/>
            </w:pPr>
            <w:r>
              <w:t xml:space="preserve">~$3.12 central estimate</w:t>
            </w:r>
          </w:p>
        </w:tc>
        <w:tc>
          <w:tcPr/>
          <w:p>
            <w:pPr>
              <w:pStyle w:val="Compact"/>
              <w:jc w:val="right"/>
            </w:pPr>
            <w:r>
              <w:t xml:space="preserve">$2.86</w:t>
            </w:r>
          </w:p>
        </w:tc>
        <w:tc>
          <w:tcPr/>
          <w:p>
            <w:pPr>
              <w:pStyle w:val="Compact"/>
              <w:jc w:val="right"/>
            </w:pPr>
            <w:r>
              <w:t xml:space="preserve">~9%</w:t>
            </w:r>
          </w:p>
        </w:tc>
      </w:tr>
      <w:tr>
        <w:tc>
          <w:tcPr/>
          <w:p>
            <w:pPr>
              <w:pStyle w:val="Compact"/>
            </w:pPr>
            <w:r>
              <w:t xml:space="preserve">Organic revenue growth</w:t>
            </w:r>
          </w:p>
        </w:tc>
        <w:tc>
          <w:tcPr/>
          <w:p>
            <w:pPr>
              <w:pStyle w:val="Compact"/>
              <w:jc w:val="right"/>
            </w:pPr>
            <w:r>
              <w:t xml:space="preserve">Mid-single-digit company objective</w:t>
            </w:r>
          </w:p>
        </w:tc>
        <w:tc>
          <w:tcPr/>
          <w:p>
            <w:pPr>
              <w:pStyle w:val="Compact"/>
              <w:jc w:val="right"/>
            </w:pPr>
            <w:r>
              <w:t xml:space="preserve">5%</w:t>
            </w:r>
          </w:p>
        </w:tc>
        <w:tc>
          <w:tcPr/>
          <w:p>
            <w:pPr>
              <w:pStyle w:val="Compact"/>
              <w:jc w:val="right"/>
            </w:pPr>
            <w:r>
              <w:t xml:space="preserve">—</w:t>
            </w:r>
          </w:p>
        </w:tc>
      </w:tr>
      <w:tr>
        <w:tc>
          <w:tcPr/>
          <w:p>
            <w:pPr>
              <w:pStyle w:val="Compact"/>
            </w:pPr>
            <w:r>
              <w:t xml:space="preserve">Adjusted operating margin</w:t>
            </w:r>
          </w:p>
        </w:tc>
        <w:tc>
          <w:tcPr/>
          <w:p>
            <w:pPr>
              <w:pStyle w:val="Compact"/>
              <w:jc w:val="right"/>
            </w:pPr>
            <w:r>
              <w:t xml:space="preserve">Expansion expected</w:t>
            </w:r>
          </w:p>
        </w:tc>
        <w:tc>
          <w:tcPr/>
          <w:p>
            <w:pPr>
              <w:pStyle w:val="Compact"/>
              <w:jc w:val="right"/>
            </w:pPr>
            <w:r>
              <w:t xml:space="preserve">18.5%</w:t>
            </w:r>
          </w:p>
        </w:tc>
        <w:tc>
          <w:tcPr/>
          <w:p>
            <w:pPr>
              <w:pStyle w:val="Compact"/>
              <w:jc w:val="right"/>
            </w:pPr>
            <w:r>
              <w:t xml:space="preserve">—</w:t>
            </w:r>
          </w:p>
        </w:tc>
      </w:tr>
      <w:tr>
        <w:tc>
          <w:tcPr/>
          <w:p>
            <w:pPr>
              <w:pStyle w:val="Compact"/>
            </w:pPr>
            <w:r>
              <w:t xml:space="preserve">HWC margin</w:t>
            </w:r>
          </w:p>
        </w:tc>
        <w:tc>
          <w:tcPr/>
          <w:p>
            <w:pPr>
              <w:pStyle w:val="Compact"/>
              <w:jc w:val="right"/>
            </w:pPr>
            <w:r>
              <w:t xml:space="preserve">Watch for continued expansion</w:t>
            </w:r>
          </w:p>
        </w:tc>
        <w:tc>
          <w:tcPr/>
          <w:p>
            <w:pPr>
              <w:pStyle w:val="Compact"/>
              <w:jc w:val="right"/>
            </w:pPr>
            <w:r>
              <w:t xml:space="preserve">23.8%</w:t>
            </w:r>
          </w:p>
        </w:tc>
        <w:tc>
          <w:tcPr/>
          <w:p>
            <w:pPr>
              <w:pStyle w:val="Compact"/>
              <w:jc w:val="right"/>
            </w:pPr>
            <w:r>
              <w:t xml:space="preserve">—</w:t>
            </w:r>
          </w:p>
        </w:tc>
      </w:tr>
      <w:tr>
        <w:tc>
          <w:tcPr/>
          <w:p>
            <w:pPr>
              <w:pStyle w:val="Compact"/>
            </w:pPr>
            <w:r>
              <w:t xml:space="preserve">R&amp;B margin</w:t>
            </w:r>
          </w:p>
        </w:tc>
        <w:tc>
          <w:tcPr/>
          <w:p>
            <w:pPr>
              <w:pStyle w:val="Compact"/>
              <w:jc w:val="right"/>
            </w:pPr>
            <w:r>
              <w:t xml:space="preserve">Watch progress toward long-term target</w:t>
            </w:r>
          </w:p>
        </w:tc>
        <w:tc>
          <w:tcPr/>
          <w:p>
            <w:pPr>
              <w:pStyle w:val="Compact"/>
              <w:jc w:val="right"/>
            </w:pPr>
            <w:r>
              <w:t xml:space="preserve">21.2%</w:t>
            </w:r>
          </w:p>
        </w:tc>
        <w:tc>
          <w:tcPr/>
          <w:p>
            <w:pPr>
              <w:pStyle w:val="Compact"/>
              <w:jc w:val="right"/>
            </w:pPr>
            <w:r>
              <w:t xml:space="preserve">—</w:t>
            </w:r>
          </w:p>
        </w:tc>
      </w:tr>
    </w:tbl>
    <w:p>
      <w:pPr>
        <w:pStyle w:val="BodyText"/>
      </w:pPr>
      <w:r>
        <w:t xml:space="preserve">Last year’s quarter included 5% organic growth, with Health, Wealth &amp; Career at 4% and Risk &amp; Broking at 6%. Adjusted operating margin expanded 150 basis points to 18.5%. (</w:t>
      </w:r>
      <w:hyperlink r:id="rId12">
        <w:r>
          <w:rPr>
            <w:rStyle w:val="Hyperlink"/>
          </w:rPr>
          <w:t xml:space="preserve">investors.wtwco.com</w:t>
        </w:r>
      </w:hyperlink>
      <w:r>
        <w:t xml:space="preserve">)</w:t>
      </w:r>
    </w:p>
    <w:bookmarkEnd w:id="13"/>
    <w:bookmarkStart w:id="23" w:name="the-five-issues-that-matter-most"/>
    <w:p>
      <w:pPr>
        <w:pStyle w:val="Heading2"/>
      </w:pPr>
      <w:r>
        <w:t xml:space="preserve">The five issues that matter most</w:t>
      </w:r>
    </w:p>
    <w:bookmarkStart w:id="15" w:name="Xbbabb90edd7aac4cc9454d854e756274d380968"/>
    <w:p>
      <w:pPr>
        <w:pStyle w:val="Heading3"/>
      </w:pPr>
      <w:r>
        <w:t xml:space="preserve">1. Did Risk &amp; Broking actually reaccelerate?</w:t>
      </w:r>
    </w:p>
    <w:p>
      <w:pPr>
        <w:pStyle w:val="FirstParagraph"/>
      </w:pPr>
      <w:r>
        <w:t xml:space="preserve">This is the most important issue.</w:t>
      </w:r>
    </w:p>
    <w:p>
      <w:pPr>
        <w:pStyle w:val="BodyText"/>
      </w:pPr>
      <w:r>
        <w:t xml:space="preserve">R&amp;B organic growth was only 2% in Q1, and underlying CRB growth was approximately 1% excluding interest income and book-of-business settlements. Management attributed the weakness primarily to:</w:t>
      </w:r>
    </w:p>
    <w:p>
      <w:pPr>
        <w:pStyle w:val="Compact"/>
        <w:numPr>
          <w:ilvl w:val="0"/>
          <w:numId w:val="1001"/>
        </w:numPr>
      </w:pPr>
      <w:r>
        <w:t xml:space="preserve">A difficult prior-year comparison</w:t>
      </w:r>
    </w:p>
    <w:p>
      <w:pPr>
        <w:pStyle w:val="Compact"/>
        <w:numPr>
          <w:ilvl w:val="0"/>
          <w:numId w:val="1001"/>
        </w:numPr>
      </w:pPr>
      <w:r>
        <w:t xml:space="preserve">New-business timing, with some revenue slipping into later quarters</w:t>
      </w:r>
    </w:p>
    <w:p>
      <w:pPr>
        <w:pStyle w:val="Compact"/>
        <w:numPr>
          <w:ilvl w:val="0"/>
          <w:numId w:val="1001"/>
        </w:numPr>
      </w:pPr>
      <w:r>
        <w:t xml:space="preserve">More competitive insurance pricing, particularly in large and complex accounts</w:t>
      </w:r>
    </w:p>
    <w:p>
      <w:pPr>
        <w:pStyle w:val="Compact"/>
        <w:numPr>
          <w:ilvl w:val="0"/>
          <w:numId w:val="1001"/>
        </w:numPr>
      </w:pPr>
      <w:r>
        <w:t xml:space="preserve">Geopolitical disruption in international markets</w:t>
      </w:r>
    </w:p>
    <w:p>
      <w:pPr>
        <w:pStyle w:val="FirstParagraph"/>
      </w:pPr>
      <w:r>
        <w:t xml:space="preserve">Management nevertheless said April R&amp;B growth had returned to</w:t>
      </w:r>
      <w:r>
        <w:t xml:space="preserve"> </w:t>
      </w:r>
      <w:r>
        <w:rPr>
          <w:b/>
          <w:bCs/>
        </w:rPr>
        <w:t xml:space="preserve">mid-single digits or better</w:t>
      </w:r>
      <w:r>
        <w:t xml:space="preserve"> </w:t>
      </w:r>
      <w:r>
        <w:t xml:space="preserve">and maintained a mid-single-digit full-year outlook. (</w:t>
      </w:r>
      <w:hyperlink r:id="rId14">
        <w:r>
          <w:rPr>
            <w:rStyle w:val="Hyperlink"/>
          </w:rPr>
          <w:t xml:space="preserve">fool.com</w:t>
        </w:r>
      </w:hyperlink>
      <w:r>
        <w:t xml:space="preserve">)</w:t>
      </w:r>
    </w:p>
    <w:p>
      <w:pPr>
        <w:pStyle w:val="BodyText"/>
      </w:pPr>
      <w:r>
        <w:t xml:space="preserve">For Q2, investors should look for:</w:t>
      </w:r>
    </w:p>
    <w:p>
      <w:pPr>
        <w:pStyle w:val="Compact"/>
        <w:numPr>
          <w:ilvl w:val="0"/>
          <w:numId w:val="1002"/>
        </w:numPr>
      </w:pPr>
      <w:r>
        <w:rPr>
          <w:b/>
          <w:bCs/>
        </w:rPr>
        <w:t xml:space="preserve">R&amp;B organic growth of at least 5%</w:t>
      </w:r>
    </w:p>
    <w:p>
      <w:pPr>
        <w:pStyle w:val="Compact"/>
        <w:numPr>
          <w:ilvl w:val="0"/>
          <w:numId w:val="1002"/>
        </w:numPr>
      </w:pPr>
      <w:r>
        <w:t xml:space="preserve">Clear evidence that delayed Q1 new business converted</w:t>
      </w:r>
    </w:p>
    <w:p>
      <w:pPr>
        <w:pStyle w:val="Compact"/>
        <w:numPr>
          <w:ilvl w:val="0"/>
          <w:numId w:val="1002"/>
        </w:numPr>
      </w:pPr>
      <w:r>
        <w:t xml:space="preserve">Continued strong retention</w:t>
      </w:r>
    </w:p>
    <w:p>
      <w:pPr>
        <w:pStyle w:val="Compact"/>
        <w:numPr>
          <w:ilvl w:val="0"/>
          <w:numId w:val="1002"/>
        </w:numPr>
      </w:pPr>
      <w:r>
        <w:t xml:space="preserve">Contributions from prior producer hiring</w:t>
      </w:r>
    </w:p>
    <w:p>
      <w:pPr>
        <w:pStyle w:val="Compact"/>
        <w:numPr>
          <w:ilvl w:val="0"/>
          <w:numId w:val="1002"/>
        </w:numPr>
      </w:pPr>
      <w:r>
        <w:t xml:space="preserve">Commentary on whether softer insurance pricing is becoming a larger commission headwind</w:t>
      </w:r>
    </w:p>
    <w:p>
      <w:pPr>
        <w:pStyle w:val="FirstParagraph"/>
      </w:pPr>
      <w:r>
        <w:t xml:space="preserve">A result near 3% would undermine the thesis that Q1 was mostly timing-related. Conversely, 5% or better—with constructive pipeline commentary—would materially improve confidence in the full-year outlook.</w:t>
      </w:r>
    </w:p>
    <w:bookmarkEnd w:id="15"/>
    <w:bookmarkStart w:id="17" w:name="X7a185adb0d8608d114e3a775b86999c29419bc8"/>
    <w:p>
      <w:pPr>
        <w:pStyle w:val="Heading3"/>
      </w:pPr>
      <w:r>
        <w:t xml:space="preserve">2. Can HWC move beyond its slow start?</w:t>
      </w:r>
    </w:p>
    <w:p>
      <w:pPr>
        <w:pStyle w:val="FirstParagraph"/>
      </w:pPr>
      <w:r>
        <w:t xml:space="preserve">HWC grew organically by 3% in Q1, with substantial variation among its businesses:</w:t>
      </w:r>
    </w:p>
    <w:p>
      <w:pPr>
        <w:pStyle w:val="Compact"/>
        <w:numPr>
          <w:ilvl w:val="0"/>
          <w:numId w:val="1003"/>
        </w:numPr>
      </w:pPr>
      <w:r>
        <w:rPr>
          <w:b/>
          <w:bCs/>
        </w:rPr>
        <w:t xml:space="preserve">Health:</w:t>
      </w:r>
      <w:r>
        <w:t xml:space="preserve"> </w:t>
      </w:r>
      <w:r>
        <w:t xml:space="preserve">+6%</w:t>
      </w:r>
    </w:p>
    <w:p>
      <w:pPr>
        <w:pStyle w:val="Compact"/>
        <w:numPr>
          <w:ilvl w:val="0"/>
          <w:numId w:val="1003"/>
        </w:numPr>
      </w:pPr>
      <w:r>
        <w:rPr>
          <w:b/>
          <w:bCs/>
        </w:rPr>
        <w:t xml:space="preserve">Wealth:</w:t>
      </w:r>
      <w:r>
        <w:t xml:space="preserve"> </w:t>
      </w:r>
      <w:r>
        <w:t xml:space="preserve">+4%</w:t>
      </w:r>
    </w:p>
    <w:p>
      <w:pPr>
        <w:pStyle w:val="Compact"/>
        <w:numPr>
          <w:ilvl w:val="0"/>
          <w:numId w:val="1003"/>
        </w:numPr>
      </w:pPr>
      <w:r>
        <w:rPr>
          <w:b/>
          <w:bCs/>
        </w:rPr>
        <w:t xml:space="preserve">Career:</w:t>
      </w:r>
      <w:r>
        <w:t xml:space="preserve"> </w:t>
      </w:r>
      <w:r>
        <w:t xml:space="preserve">-3%</w:t>
      </w:r>
    </w:p>
    <w:p>
      <w:pPr>
        <w:pStyle w:val="Compact"/>
        <w:numPr>
          <w:ilvl w:val="0"/>
          <w:numId w:val="1003"/>
        </w:numPr>
      </w:pPr>
      <w:r>
        <w:rPr>
          <w:b/>
          <w:bCs/>
        </w:rPr>
        <w:t xml:space="preserve">Benefits Delivery &amp; Outsourcing:</w:t>
      </w:r>
      <w:r>
        <w:t xml:space="preserve"> </w:t>
      </w:r>
      <w:r>
        <w:t xml:space="preserve">-1%</w:t>
      </w:r>
    </w:p>
    <w:p>
      <w:pPr>
        <w:pStyle w:val="FirstParagraph"/>
      </w:pPr>
      <w:r>
        <w:t xml:space="preserve">Health remains the most dependable growth engine. High healthcare inflation, strong retention and demand for cost-management and specialty solutions support management’s high-single-digit full-year growth expectation for that business.</w:t>
      </w:r>
    </w:p>
    <w:p>
      <w:pPr>
        <w:pStyle w:val="BodyText"/>
      </w:pPr>
      <w:r>
        <w:t xml:space="preserve">Career is the swing factor. Q1 was hurt by project postponements in the Middle East and slower discretionary advisory demand in North America. Management expects improvement from compensation-benchmarking products, EU pay-transparency work, M&amp;A activity and AI-related workforce transformation projects. (</w:t>
      </w:r>
      <w:hyperlink r:id="rId16">
        <w:r>
          <w:rPr>
            <w:rStyle w:val="Hyperlink"/>
          </w:rPr>
          <w:t xml:space="preserve">investors.wtwco.com</w:t>
        </w:r>
      </w:hyperlink>
      <w:r>
        <w:t xml:space="preserve">)</w:t>
      </w:r>
    </w:p>
    <w:p>
      <w:pPr>
        <w:pStyle w:val="BodyText"/>
      </w:pPr>
      <w:r>
        <w:t xml:space="preserve">An encouraging HWC result would include:</w:t>
      </w:r>
    </w:p>
    <w:p>
      <w:pPr>
        <w:pStyle w:val="Compact"/>
        <w:numPr>
          <w:ilvl w:val="0"/>
          <w:numId w:val="1004"/>
        </w:numPr>
      </w:pPr>
      <w:r>
        <w:t xml:space="preserve">Health growth remaining at least mid- to high-single-digit</w:t>
      </w:r>
    </w:p>
    <w:p>
      <w:pPr>
        <w:pStyle w:val="Compact"/>
        <w:numPr>
          <w:ilvl w:val="0"/>
          <w:numId w:val="1004"/>
        </w:numPr>
      </w:pPr>
      <w:r>
        <w:t xml:space="preserve">Wealth sustaining low-single-digit or better growth</w:t>
      </w:r>
    </w:p>
    <w:p>
      <w:pPr>
        <w:pStyle w:val="Compact"/>
        <w:numPr>
          <w:ilvl w:val="0"/>
          <w:numId w:val="1004"/>
        </w:numPr>
      </w:pPr>
      <w:r>
        <w:t xml:space="preserve">Career returning to positive territory</w:t>
      </w:r>
    </w:p>
    <w:p>
      <w:pPr>
        <w:pStyle w:val="Compact"/>
        <w:numPr>
          <w:ilvl w:val="0"/>
          <w:numId w:val="1004"/>
        </w:numPr>
      </w:pPr>
      <w:r>
        <w:t xml:space="preserve">No deterioration in North American discretionary consulting</w:t>
      </w:r>
    </w:p>
    <w:p>
      <w:pPr>
        <w:pStyle w:val="Compact"/>
        <w:numPr>
          <w:ilvl w:val="0"/>
          <w:numId w:val="1004"/>
        </w:numPr>
      </w:pPr>
      <w:r>
        <w:t xml:space="preserve">Continued HWC margin expansion</w:t>
      </w:r>
    </w:p>
    <w:p>
      <w:pPr>
        <w:pStyle w:val="FirstParagraph"/>
      </w:pPr>
      <w:r>
        <w:t xml:space="preserve">BD&amp;O is less important for Q2 because approximately 80% of Individual Marketplace revenue is generated during the fourth-quarter Medicare enrollment season.</w:t>
      </w:r>
    </w:p>
    <w:bookmarkEnd w:id="17"/>
    <w:bookmarkStart w:id="20" w:name="X260bb79dfe8796600cd7c1e2e7c474b3b92eaa2"/>
    <w:p>
      <w:pPr>
        <w:pStyle w:val="Heading3"/>
      </w:pPr>
      <w:r>
        <w:t xml:space="preserve">3. Revenue quality matters more than the reported growth rate</w:t>
      </w:r>
    </w:p>
    <w:p>
      <w:pPr>
        <w:pStyle w:val="FirstParagraph"/>
      </w:pPr>
      <w:r>
        <w:t xml:space="preserve">Reported revenue should benefit from acquisitions and currency, making the headline growth rate less informative than usual.</w:t>
      </w:r>
    </w:p>
    <w:p>
      <w:pPr>
        <w:pStyle w:val="BodyText"/>
      </w:pPr>
      <w:r>
        <w:t xml:space="preserve">Newfront closed on January 27 and will contribute for the entire second quarter. WTW previously estimated approximately</w:t>
      </w:r>
      <w:r>
        <w:t xml:space="preserve"> </w:t>
      </w:r>
      <w:r>
        <w:rPr>
          <w:b/>
          <w:bCs/>
        </w:rPr>
        <w:t xml:space="preserve">$250 million of post-close 2026 revenue</w:t>
      </w:r>
      <w:r>
        <w:t xml:space="preserve">, at an adjusted EBITDA margin of roughly 26%. About 58% of Newfront’s business is included in R&amp;B and 42% in HWC. WTW also guided to approximately $0.10 of Newfront-related adjusted EPS dilution for 2026. (</w:t>
      </w:r>
      <w:hyperlink r:id="rId16">
        <w:r>
          <w:rPr>
            <w:rStyle w:val="Hyperlink"/>
          </w:rPr>
          <w:t xml:space="preserve">investors.wtwco.com</w:t>
        </w:r>
      </w:hyperlink>
      <w:r>
        <w:t xml:space="preserve">)</w:t>
      </w:r>
    </w:p>
    <w:p>
      <w:pPr>
        <w:pStyle w:val="BodyText"/>
      </w:pPr>
      <w:r>
        <w:t xml:space="preserve">WTW additionally completed:</w:t>
      </w:r>
    </w:p>
    <w:p>
      <w:pPr>
        <w:pStyle w:val="Compact"/>
        <w:numPr>
          <w:ilvl w:val="0"/>
          <w:numId w:val="1005"/>
        </w:numPr>
      </w:pPr>
      <w:r>
        <w:rPr>
          <w:b/>
          <w:bCs/>
        </w:rPr>
        <w:t xml:space="preserve">FlowStone Partners on April 1</w:t>
      </w:r>
      <w:r>
        <w:t xml:space="preserve">, expanding its private-markets investment capabilities. (</w:t>
      </w:r>
      <w:hyperlink r:id="rId18">
        <w:r>
          <w:rPr>
            <w:rStyle w:val="Hyperlink"/>
          </w:rPr>
          <w:t xml:space="preserve">wtwco.com</w:t>
        </w:r>
      </w:hyperlink>
      <w:r>
        <w:t xml:space="preserve">)</w:t>
      </w:r>
    </w:p>
    <w:p>
      <w:pPr>
        <w:pStyle w:val="Compact"/>
        <w:numPr>
          <w:ilvl w:val="0"/>
          <w:numId w:val="1005"/>
        </w:numPr>
      </w:pPr>
      <w:r>
        <w:rPr>
          <w:b/>
          <w:bCs/>
        </w:rPr>
        <w:t xml:space="preserve">Cushon on May 5</w:t>
      </w:r>
      <w:r>
        <w:t xml:space="preserve">, strengthening its position in the U.K. defined-contribution and master-trust market. (</w:t>
      </w:r>
      <w:hyperlink r:id="rId19">
        <w:r>
          <w:rPr>
            <w:rStyle w:val="Hyperlink"/>
          </w:rPr>
          <w:t xml:space="preserve">uk.investing.com</w:t>
        </w:r>
      </w:hyperlink>
      <w:r>
        <w:t xml:space="preserve">)</w:t>
      </w:r>
    </w:p>
    <w:p>
      <w:pPr>
        <w:pStyle w:val="FirstParagraph"/>
      </w:pPr>
      <w:r>
        <w:t xml:space="preserve">Thus, revenue near consensus could still be disappointing if organic growth is weak. Investors should separate:</w:t>
      </w:r>
    </w:p>
    <w:p>
      <w:pPr>
        <w:pStyle w:val="Compact"/>
        <w:numPr>
          <w:ilvl w:val="0"/>
          <w:numId w:val="1006"/>
        </w:numPr>
      </w:pPr>
      <w:r>
        <w:t xml:space="preserve">Organic growth</w:t>
      </w:r>
    </w:p>
    <w:p>
      <w:pPr>
        <w:pStyle w:val="Compact"/>
        <w:numPr>
          <w:ilvl w:val="0"/>
          <w:numId w:val="1006"/>
        </w:numPr>
      </w:pPr>
      <w:r>
        <w:t xml:space="preserve">Acquisition contribution</w:t>
      </w:r>
    </w:p>
    <w:p>
      <w:pPr>
        <w:pStyle w:val="Compact"/>
        <w:numPr>
          <w:ilvl w:val="0"/>
          <w:numId w:val="1006"/>
        </w:numPr>
      </w:pPr>
      <w:r>
        <w:t xml:space="preserve">Foreign exchange</w:t>
      </w:r>
    </w:p>
    <w:p>
      <w:pPr>
        <w:pStyle w:val="Compact"/>
        <w:numPr>
          <w:ilvl w:val="0"/>
          <w:numId w:val="1006"/>
        </w:numPr>
      </w:pPr>
      <w:r>
        <w:t xml:space="preserve">Interest income and book-of-business settlements</w:t>
      </w:r>
    </w:p>
    <w:p>
      <w:pPr>
        <w:pStyle w:val="FirstParagraph"/>
      </w:pPr>
      <w:r>
        <w:t xml:space="preserve">A clean 5% organic result would be considerably more valuable than a reported revenue beat driven mainly by Newfront or currency.</w:t>
      </w:r>
    </w:p>
    <w:bookmarkEnd w:id="20"/>
    <w:bookmarkStart w:id="21" w:name="X1fdee3f14366b2bcf737c207ee4fb0b4d0296ae"/>
    <w:p>
      <w:pPr>
        <w:pStyle w:val="Heading3"/>
      </w:pPr>
      <w:r>
        <w:t xml:space="preserve">4. Can margin expansion remain durable?</w:t>
      </w:r>
    </w:p>
    <w:p>
      <w:pPr>
        <w:pStyle w:val="FirstParagraph"/>
      </w:pPr>
      <w:r>
        <w:t xml:space="preserve">WTW delivered a 22.3% adjusted operating margin in Q1, up 70 basis points year over year. Excluding currency, however, the expansion was closer to 30 basis points. R&amp;B’s underlying improvement was only about 10 basis points after excluding currency, acquisition and book-of-business effects. (</w:t>
      </w:r>
      <w:hyperlink r:id="rId16">
        <w:r>
          <w:rPr>
            <w:rStyle w:val="Hyperlink"/>
          </w:rPr>
          <w:t xml:space="preserve">investors.wtwco.com</w:t>
        </w:r>
      </w:hyperlink>
      <w:r>
        <w:t xml:space="preserve">)</w:t>
      </w:r>
    </w:p>
    <w:p>
      <w:pPr>
        <w:pStyle w:val="BodyText"/>
      </w:pPr>
      <w:r>
        <w:t xml:space="preserve">Management continues to target approximately</w:t>
      </w:r>
      <w:r>
        <w:t xml:space="preserve"> </w:t>
      </w:r>
      <w:r>
        <w:rPr>
          <w:b/>
          <w:bCs/>
        </w:rPr>
        <w:t xml:space="preserve">100 basis points of average annual R&amp;B margin expansion over 2025–2027</w:t>
      </w:r>
      <w:r>
        <w:t xml:space="preserve">, plus incremental annual expansion in HWC and at the enterprise level.</w:t>
      </w:r>
    </w:p>
    <w:p>
      <w:pPr>
        <w:pStyle w:val="BodyText"/>
      </w:pPr>
      <w:r>
        <w:t xml:space="preserve">Q2’s prior-year adjusted operating margin was 18.5%. A reasonable scorecard is:</w:t>
      </w:r>
    </w:p>
    <w:p>
      <w:pPr>
        <w:pStyle w:val="Compact"/>
        <w:numPr>
          <w:ilvl w:val="0"/>
          <w:numId w:val="1007"/>
        </w:numPr>
      </w:pPr>
      <w:r>
        <w:rPr>
          <w:b/>
          <w:bCs/>
        </w:rPr>
        <w:t xml:space="preserve">Strong:</w:t>
      </w:r>
      <w:r>
        <w:t xml:space="preserve"> </w:t>
      </w:r>
      <w:r>
        <w:t xml:space="preserve">19.5% or better</w:t>
      </w:r>
    </w:p>
    <w:p>
      <w:pPr>
        <w:pStyle w:val="Compact"/>
        <w:numPr>
          <w:ilvl w:val="0"/>
          <w:numId w:val="1007"/>
        </w:numPr>
      </w:pPr>
      <w:r>
        <w:rPr>
          <w:b/>
          <w:bCs/>
        </w:rPr>
        <w:t xml:space="preserve">Acceptable:</w:t>
      </w:r>
      <w:r>
        <w:t xml:space="preserve"> </w:t>
      </w:r>
      <w:r>
        <w:t xml:space="preserve">19.0%–19.5%</w:t>
      </w:r>
    </w:p>
    <w:p>
      <w:pPr>
        <w:pStyle w:val="Compact"/>
        <w:numPr>
          <w:ilvl w:val="0"/>
          <w:numId w:val="1007"/>
        </w:numPr>
      </w:pPr>
      <w:r>
        <w:rPr>
          <w:b/>
          <w:bCs/>
        </w:rPr>
        <w:t xml:space="preserve">Weak:</w:t>
      </w:r>
      <w:r>
        <w:t xml:space="preserve"> </w:t>
      </w:r>
      <w:r>
        <w:t xml:space="preserve">Less than 19.0%, absent a compelling investment or acquisition explanation</w:t>
      </w:r>
    </w:p>
    <w:p>
      <w:pPr>
        <w:pStyle w:val="FirstParagraph"/>
      </w:pPr>
      <w:r>
        <w:t xml:space="preserve">Investors should also scrutinize the source of EPS growth. Potential supports include:</w:t>
      </w:r>
    </w:p>
    <w:p>
      <w:pPr>
        <w:pStyle w:val="Compact"/>
        <w:numPr>
          <w:ilvl w:val="0"/>
          <w:numId w:val="1008"/>
        </w:numPr>
      </w:pPr>
      <w:r>
        <w:t xml:space="preserve">Operating leverage and expense discipline</w:t>
      </w:r>
    </w:p>
    <w:p>
      <w:pPr>
        <w:pStyle w:val="Compact"/>
        <w:numPr>
          <w:ilvl w:val="0"/>
          <w:numId w:val="1008"/>
        </w:numPr>
      </w:pPr>
      <w:r>
        <w:t xml:space="preserve">Lower diluted share count</w:t>
      </w:r>
    </w:p>
    <w:p>
      <w:pPr>
        <w:pStyle w:val="Compact"/>
        <w:numPr>
          <w:ilvl w:val="0"/>
          <w:numId w:val="1008"/>
        </w:numPr>
      </w:pPr>
      <w:r>
        <w:t xml:space="preserve">Currency</w:t>
      </w:r>
    </w:p>
    <w:p>
      <w:pPr>
        <w:pStyle w:val="Compact"/>
        <w:numPr>
          <w:ilvl w:val="0"/>
          <w:numId w:val="1008"/>
        </w:numPr>
      </w:pPr>
      <w:r>
        <w:t xml:space="preserve">Tax rate</w:t>
      </w:r>
    </w:p>
    <w:p>
      <w:pPr>
        <w:pStyle w:val="Compact"/>
        <w:numPr>
          <w:ilvl w:val="0"/>
          <w:numId w:val="1008"/>
        </w:numPr>
      </w:pPr>
      <w:r>
        <w:t xml:space="preserve">Pension-related items</w:t>
      </w:r>
    </w:p>
    <w:p>
      <w:pPr>
        <w:pStyle w:val="FirstParagraph"/>
      </w:pPr>
      <w:r>
        <w:t xml:space="preserve">The highest-quality outcome would be an EPS beat accompanied by organic growth of roughly 5% and broad-based underlying margin expansion.</w:t>
      </w:r>
    </w:p>
    <w:bookmarkEnd w:id="21"/>
    <w:bookmarkStart w:id="22" w:name="Xf78cdf3f4814ad3c97931fe2dfa73b58fe5c3fa"/>
    <w:p>
      <w:pPr>
        <w:pStyle w:val="Heading3"/>
      </w:pPr>
      <w:r>
        <w:t xml:space="preserve">5. Capital allocation and cash conversion</w:t>
      </w:r>
    </w:p>
    <w:p>
      <w:pPr>
        <w:pStyle w:val="FirstParagraph"/>
      </w:pPr>
      <w:r>
        <w:t xml:space="preserve">WTW repurchased</w:t>
      </w:r>
      <w:r>
        <w:t xml:space="preserve"> </w:t>
      </w:r>
      <m:oMath>
        <m:r>
          <m:t>300</m:t>
        </m:r>
        <m:r>
          <m:t>m</m:t>
        </m:r>
        <m:r>
          <m:t>i</m:t>
        </m:r>
        <m:r>
          <m:t>l</m:t>
        </m:r>
        <m:r>
          <m:t>l</m:t>
        </m:r>
        <m:r>
          <m:t>i</m:t>
        </m:r>
        <m:r>
          <m:t>o</m:t>
        </m:r>
        <m:r>
          <m:t>n</m:t>
        </m:r>
        <m:r>
          <m:t>o</m:t>
        </m:r>
        <m:r>
          <m:t>f</m:t>
        </m:r>
        <m:r>
          <m:t>s</m:t>
        </m:r>
        <m:r>
          <m:t>h</m:t>
        </m:r>
        <m:r>
          <m:t>a</m:t>
        </m:r>
        <m:r>
          <m:t>r</m:t>
        </m:r>
        <m:r>
          <m:t>e</m:t>
        </m:r>
        <m:r>
          <m:t>s</m:t>
        </m:r>
        <m:r>
          <m:t>i</m:t>
        </m:r>
        <m:r>
          <m:t>n</m:t>
        </m:r>
        <m:r>
          <m:t>Q</m:t>
        </m:r>
        <m:r>
          <m:t>1</m:t>
        </m:r>
        <m:r>
          <m:t>a</m:t>
        </m:r>
        <m:r>
          <m:t>n</m:t>
        </m:r>
        <m:r>
          <m:t>d</m:t>
        </m:r>
        <m:r>
          <m:t>c</m:t>
        </m:r>
        <m:r>
          <m:t>o</m:t>
        </m:r>
        <m:r>
          <m:t>n</m:t>
        </m:r>
        <m:r>
          <m:t>t</m:t>
        </m:r>
        <m:r>
          <m:t>i</m:t>
        </m:r>
        <m:r>
          <m:t>n</m:t>
        </m:r>
        <m:r>
          <m:t>u</m:t>
        </m:r>
        <m:r>
          <m:t>e</m:t>
        </m:r>
        <m:r>
          <m:t>s</m:t>
        </m:r>
        <m:r>
          <m:t>t</m:t>
        </m:r>
        <m:r>
          <m:t>o</m:t>
        </m:r>
        <m:r>
          <m:t>e</m:t>
        </m:r>
        <m:r>
          <m:t>x</m:t>
        </m:r>
        <m:r>
          <m:t>p</m:t>
        </m:r>
        <m:r>
          <m:t>e</m:t>
        </m:r>
        <m:r>
          <m:t>c</m:t>
        </m:r>
        <m:r>
          <m:t>t</m:t>
        </m:r>
        <m:r>
          <m:t>a</m:t>
        </m:r>
        <m:r>
          <m:t>t</m:t>
        </m:r>
        <m:r>
          <m:t>l</m:t>
        </m:r>
        <m:r>
          <m:t>e</m:t>
        </m:r>
        <m:r>
          <m:t>a</m:t>
        </m:r>
        <m:r>
          <m:t>s</m:t>
        </m:r>
        <m:r>
          <m:t>t</m:t>
        </m:r>
        <m:r>
          <m:rPr>
            <m:sty m:val="p"/>
          </m:rPr>
          <m:t>*</m:t>
        </m:r>
        <m:r>
          <m:rPr>
            <m:sty m:val="p"/>
          </m:rPr>
          <m:t>*</m:t>
        </m:r>
      </m:oMath>
      <w:r>
        <w:t xml:space="preserve">1 billion of 2026 repurchases**, subject to market conditions and competing investment opportunities. Q1 free cash flow improved by $21 million year over year but remained negative $65 million because of normal seasonality and acquisition-related costs. Management continues to expect full-year free-cash-flow margin improvement. (</w:t>
      </w:r>
      <w:hyperlink r:id="rId16">
        <w:r>
          <w:rPr>
            <w:rStyle w:val="Hyperlink"/>
          </w:rPr>
          <w:t xml:space="preserve">investors.wtwco.com</w:t>
        </w:r>
      </w:hyperlink>
      <w:r>
        <w:t xml:space="preserve">)</w:t>
      </w:r>
    </w:p>
    <w:p>
      <w:pPr>
        <w:pStyle w:val="BodyText"/>
      </w:pPr>
      <w:r>
        <w:t xml:space="preserve">Points to monitor include:</w:t>
      </w:r>
    </w:p>
    <w:p>
      <w:pPr>
        <w:pStyle w:val="Compact"/>
        <w:numPr>
          <w:ilvl w:val="0"/>
          <w:numId w:val="1009"/>
        </w:numPr>
      </w:pPr>
      <w:r>
        <w:t xml:space="preserve">Repurchases completed during Q2</w:t>
      </w:r>
    </w:p>
    <w:p>
      <w:pPr>
        <w:pStyle w:val="Compact"/>
        <w:numPr>
          <w:ilvl w:val="0"/>
          <w:numId w:val="1009"/>
        </w:numPr>
      </w:pPr>
      <w:r>
        <w:t xml:space="preserve">Whether the $1 billion floor is reiterated or increased</w:t>
      </w:r>
    </w:p>
    <w:p>
      <w:pPr>
        <w:pStyle w:val="Compact"/>
        <w:numPr>
          <w:ilvl w:val="0"/>
          <w:numId w:val="1009"/>
        </w:numPr>
      </w:pPr>
      <w:r>
        <w:t xml:space="preserve">Newfront integration spending</w:t>
      </w:r>
    </w:p>
    <w:p>
      <w:pPr>
        <w:pStyle w:val="Compact"/>
        <w:numPr>
          <w:ilvl w:val="0"/>
          <w:numId w:val="1009"/>
        </w:numPr>
      </w:pPr>
      <w:r>
        <w:t xml:space="preserve">Working-capital and collections progress</w:t>
      </w:r>
    </w:p>
    <w:p>
      <w:pPr>
        <w:pStyle w:val="Compact"/>
        <w:numPr>
          <w:ilvl w:val="0"/>
          <w:numId w:val="1009"/>
        </w:numPr>
      </w:pPr>
      <w:r>
        <w:t xml:space="preserve">Acquisition financing and leverage</w:t>
      </w:r>
    </w:p>
    <w:p>
      <w:pPr>
        <w:pStyle w:val="Compact"/>
        <w:numPr>
          <w:ilvl w:val="0"/>
          <w:numId w:val="1009"/>
        </w:numPr>
      </w:pPr>
      <w:r>
        <w:t xml:space="preserve">Whether free-cash-flow margin improvement remains on track</w:t>
      </w:r>
    </w:p>
    <w:p>
      <w:pPr>
        <w:pStyle w:val="FirstParagraph"/>
      </w:pPr>
      <w:r>
        <w:t xml:space="preserve">Buybacks should continue supporting EPS given the lower share count, but investors will want evidence that repurchases are funded by improving cash generation rather than greater reliance on the balance sheet.</w:t>
      </w:r>
    </w:p>
    <w:bookmarkEnd w:id="22"/>
    <w:bookmarkEnd w:id="23"/>
    <w:bookmarkStart w:id="24" w:name="guidance-what-must-be-maintained"/>
    <w:p>
      <w:pPr>
        <w:pStyle w:val="Heading2"/>
      </w:pPr>
      <w:r>
        <w:t xml:space="preserve">Guidance: what must be maintained</w:t>
      </w:r>
    </w:p>
    <w:p>
      <w:pPr>
        <w:pStyle w:val="FirstParagraph"/>
      </w:pPr>
      <w:r>
        <w:t xml:space="preserve">WTW entered Q2 targeting:</w:t>
      </w:r>
    </w:p>
    <w:p>
      <w:pPr>
        <w:pStyle w:val="Compact"/>
        <w:numPr>
          <w:ilvl w:val="0"/>
          <w:numId w:val="1010"/>
        </w:numPr>
      </w:pPr>
      <w:r>
        <w:rPr>
          <w:b/>
          <w:bCs/>
        </w:rPr>
        <w:t xml:space="preserve">Mid-single-digit organic growth</w:t>
      </w:r>
      <w:r>
        <w:t xml:space="preserve"> </w:t>
      </w:r>
      <w:r>
        <w:t xml:space="preserve">at the enterprise level</w:t>
      </w:r>
    </w:p>
    <w:p>
      <w:pPr>
        <w:pStyle w:val="Compact"/>
        <w:numPr>
          <w:ilvl w:val="0"/>
          <w:numId w:val="1010"/>
        </w:numPr>
      </w:pPr>
      <w:r>
        <w:t xml:space="preserve">Mid-single-digit growth in both HWC and R&amp;B</w:t>
      </w:r>
    </w:p>
    <w:p>
      <w:pPr>
        <w:pStyle w:val="Compact"/>
        <w:numPr>
          <w:ilvl w:val="0"/>
          <w:numId w:val="1010"/>
        </w:numPr>
      </w:pPr>
      <w:r>
        <w:t xml:space="preserve">Continued enterprise and HWC margin expansion</w:t>
      </w:r>
    </w:p>
    <w:p>
      <w:pPr>
        <w:pStyle w:val="Compact"/>
        <w:numPr>
          <w:ilvl w:val="0"/>
          <w:numId w:val="1010"/>
        </w:numPr>
      </w:pPr>
      <w:r>
        <w:t xml:space="preserve">Approximately 100 basis points of average annual R&amp;B margin expansion over the next two years</w:t>
      </w:r>
    </w:p>
    <w:p>
      <w:pPr>
        <w:pStyle w:val="Compact"/>
        <w:numPr>
          <w:ilvl w:val="0"/>
          <w:numId w:val="1010"/>
        </w:numPr>
      </w:pPr>
      <w:r>
        <w:t xml:space="preserve">Improving free-cash-flow margin</w:t>
      </w:r>
    </w:p>
    <w:p>
      <w:pPr>
        <w:pStyle w:val="Compact"/>
        <w:numPr>
          <w:ilvl w:val="0"/>
          <w:numId w:val="1010"/>
        </w:numPr>
      </w:pPr>
      <w:r>
        <w:t xml:space="preserve">At least $1 billion of share repurchases</w:t>
      </w:r>
    </w:p>
    <w:p>
      <w:pPr>
        <w:pStyle w:val="Compact"/>
        <w:numPr>
          <w:ilvl w:val="0"/>
          <w:numId w:val="1010"/>
        </w:numPr>
      </w:pPr>
      <w:r>
        <w:t xml:space="preserve">Approximately $0.35 of full-year currency benefit to adjusted EPS at the exchange rates used in April</w:t>
      </w:r>
    </w:p>
    <w:p>
      <w:pPr>
        <w:pStyle w:val="Compact"/>
        <w:numPr>
          <w:ilvl w:val="0"/>
          <w:numId w:val="1010"/>
        </w:numPr>
      </w:pPr>
      <w:r>
        <w:t xml:space="preserve">Approximately $0.30 of EPS headwind from the Willis Re joint venture</w:t>
      </w:r>
    </w:p>
    <w:p>
      <w:pPr>
        <w:pStyle w:val="Compact"/>
        <w:numPr>
          <w:ilvl w:val="0"/>
          <w:numId w:val="1010"/>
        </w:numPr>
      </w:pPr>
      <w:r>
        <w:t xml:space="preserve">Approximately $0.10 of EPS dilution from Newfront (</w:t>
      </w:r>
      <w:hyperlink r:id="rId16">
        <w:r>
          <w:rPr>
            <w:rStyle w:val="Hyperlink"/>
          </w:rPr>
          <w:t xml:space="preserve">investors.wtwco.com</w:t>
        </w:r>
      </w:hyperlink>
      <w:r>
        <w:t xml:space="preserve">)</w:t>
      </w:r>
    </w:p>
    <w:p>
      <w:pPr>
        <w:pStyle w:val="FirstParagraph"/>
      </w:pPr>
      <w:r>
        <w:t xml:space="preserve">A simple reaffirmation would be acceptable if Q2 organic growth reaches approximately 5%. Reaffirmation accompanied by another 3%–4% quarter would be less convincing because it would require a meaningful second-half acceleration.</w:t>
      </w:r>
    </w:p>
    <w:bookmarkEnd w:id="24"/>
    <w:bookmarkStart w:id="25" w:name="suggested-earnings-scorecard"/>
    <w:p>
      <w:pPr>
        <w:pStyle w:val="Heading2"/>
      </w:pPr>
      <w:r>
        <w:t xml:space="preserve">Suggested earnings scorecard</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Outcome</w:t>
            </w:r>
          </w:p>
        </w:tc>
        <w:tc>
          <w:tcPr/>
          <w:p>
            <w:pPr>
              <w:pStyle w:val="Compact"/>
              <w:jc w:val="right"/>
            </w:pPr>
            <w:r>
              <w:t xml:space="preserve">Organic growth</w:t>
            </w:r>
          </w:p>
        </w:tc>
        <w:tc>
          <w:tcPr/>
          <w:p>
            <w:pPr>
              <w:pStyle w:val="Compact"/>
              <w:jc w:val="right"/>
            </w:pPr>
            <w:r>
              <w:t xml:space="preserve">R&amp;B organic growth</w:t>
            </w:r>
          </w:p>
        </w:tc>
        <w:tc>
          <w:tcPr/>
          <w:p>
            <w:pPr>
              <w:pStyle w:val="Compact"/>
              <w:jc w:val="right"/>
            </w:pPr>
            <w:r>
              <w:t xml:space="preserve">Adj. operating margin</w:t>
            </w:r>
          </w:p>
        </w:tc>
        <w:tc>
          <w:tcPr/>
          <w:p>
            <w:pPr>
              <w:pStyle w:val="Compact"/>
            </w:pPr>
            <w:r>
              <w:t xml:space="preserve">Guidance interpretation</w:t>
            </w:r>
          </w:p>
        </w:tc>
      </w:tr>
      <w:tr>
        <w:tc>
          <w:tcPr/>
          <w:p>
            <w:pPr>
              <w:pStyle w:val="Compact"/>
            </w:pPr>
            <w:r>
              <w:rPr>
                <w:b/>
                <w:bCs/>
              </w:rPr>
              <w:t xml:space="preserve">Bull case</w:t>
            </w:r>
          </w:p>
        </w:tc>
        <w:tc>
          <w:tcPr/>
          <w:p>
            <w:pPr>
              <w:pStyle w:val="Compact"/>
              <w:jc w:val="right"/>
            </w:pPr>
            <w:r>
              <w:t xml:space="preserve">≥5%</w:t>
            </w:r>
          </w:p>
        </w:tc>
        <w:tc>
          <w:tcPr/>
          <w:p>
            <w:pPr>
              <w:pStyle w:val="Compact"/>
              <w:jc w:val="right"/>
            </w:pPr>
            <w:r>
              <w:t xml:space="preserve">≥5%</w:t>
            </w:r>
          </w:p>
        </w:tc>
        <w:tc>
          <w:tcPr/>
          <w:p>
            <w:pPr>
              <w:pStyle w:val="Compact"/>
              <w:jc w:val="right"/>
            </w:pPr>
            <w:r>
              <w:t xml:space="preserve">≥19.5%</w:t>
            </w:r>
          </w:p>
        </w:tc>
        <w:tc>
          <w:tcPr/>
          <w:p>
            <w:pPr>
              <w:pStyle w:val="Compact"/>
            </w:pPr>
            <w:r>
              <w:t xml:space="preserve">Reaffirmed with stronger pipeline or upside language</w:t>
            </w:r>
          </w:p>
        </w:tc>
      </w:tr>
      <w:tr>
        <w:tc>
          <w:tcPr/>
          <w:p>
            <w:pPr>
              <w:pStyle w:val="Compact"/>
            </w:pPr>
            <w:r>
              <w:rPr>
                <w:b/>
                <w:bCs/>
              </w:rPr>
              <w:t xml:space="preserve">Base case</w:t>
            </w:r>
          </w:p>
        </w:tc>
        <w:tc>
          <w:tcPr/>
          <w:p>
            <w:pPr>
              <w:pStyle w:val="Compact"/>
              <w:jc w:val="right"/>
            </w:pPr>
            <w:r>
              <w:t xml:space="preserve">4%–5%</w:t>
            </w:r>
          </w:p>
        </w:tc>
        <w:tc>
          <w:tcPr/>
          <w:p>
            <w:pPr>
              <w:pStyle w:val="Compact"/>
              <w:jc w:val="right"/>
            </w:pPr>
            <w:r>
              <w:t xml:space="preserve">4%–5%</w:t>
            </w:r>
          </w:p>
        </w:tc>
        <w:tc>
          <w:tcPr/>
          <w:p>
            <w:pPr>
              <w:pStyle w:val="Compact"/>
              <w:jc w:val="right"/>
            </w:pPr>
            <w:r>
              <w:t xml:space="preserve">19.0%–19.5%</w:t>
            </w:r>
          </w:p>
        </w:tc>
        <w:tc>
          <w:tcPr/>
          <w:p>
            <w:pPr>
              <w:pStyle w:val="Compact"/>
            </w:pPr>
            <w:r>
              <w:t xml:space="preserve">Reaffirmed</w:t>
            </w:r>
          </w:p>
        </w:tc>
      </w:tr>
      <w:tr>
        <w:tc>
          <w:tcPr/>
          <w:p>
            <w:pPr>
              <w:pStyle w:val="Compact"/>
            </w:pPr>
            <w:r>
              <w:rPr>
                <w:b/>
                <w:bCs/>
              </w:rPr>
              <w:t xml:space="preserve">Bear case</w:t>
            </w:r>
          </w:p>
        </w:tc>
        <w:tc>
          <w:tcPr/>
          <w:p>
            <w:pPr>
              <w:pStyle w:val="Compact"/>
              <w:jc w:val="right"/>
            </w:pPr>
            <w:r>
              <w:t xml:space="preserve">≤3%</w:t>
            </w:r>
          </w:p>
        </w:tc>
        <w:tc>
          <w:tcPr/>
          <w:p>
            <w:pPr>
              <w:pStyle w:val="Compact"/>
              <w:jc w:val="right"/>
            </w:pPr>
            <w:r>
              <w:t xml:space="preserve">≤3%</w:t>
            </w:r>
          </w:p>
        </w:tc>
        <w:tc>
          <w:tcPr/>
          <w:p>
            <w:pPr>
              <w:pStyle w:val="Compact"/>
              <w:jc w:val="right"/>
            </w:pPr>
            <w:r>
              <w:t xml:space="preserve">&lt;19.0%</w:t>
            </w:r>
          </w:p>
        </w:tc>
        <w:tc>
          <w:tcPr/>
          <w:p>
            <w:pPr>
              <w:pStyle w:val="Compact"/>
            </w:pPr>
            <w:r>
              <w:t xml:space="preserve">Guidance narrowed, lowered or increasingly back-end loaded</w:t>
            </w:r>
          </w:p>
        </w:tc>
      </w:tr>
    </w:tbl>
    <w:bookmarkEnd w:id="25"/>
    <w:bookmarkStart w:id="26" w:name="X12f053325472ac28f9bae2eb1254359fd9be28d"/>
    <w:p>
      <w:pPr>
        <w:pStyle w:val="Heading2"/>
      </w:pPr>
      <w:r>
        <w:t xml:space="preserve">Questions investors should want answered on the call</w:t>
      </w:r>
    </w:p>
    <w:p>
      <w:pPr>
        <w:pStyle w:val="Compact"/>
        <w:numPr>
          <w:ilvl w:val="0"/>
          <w:numId w:val="1011"/>
        </w:numPr>
      </w:pPr>
      <w:r>
        <w:t xml:space="preserve">Did R&amp;B sustain April’s “mid-single-digit or better” growth through May and June?</w:t>
      </w:r>
    </w:p>
    <w:p>
      <w:pPr>
        <w:pStyle w:val="Compact"/>
        <w:numPr>
          <w:ilvl w:val="0"/>
          <w:numId w:val="1011"/>
        </w:numPr>
      </w:pPr>
      <w:r>
        <w:t xml:space="preserve">How much Q1 new business shifted into Q2, and how much remains delayed?</w:t>
      </w:r>
    </w:p>
    <w:p>
      <w:pPr>
        <w:pStyle w:val="Compact"/>
        <w:numPr>
          <w:ilvl w:val="0"/>
          <w:numId w:val="1011"/>
        </w:numPr>
      </w:pPr>
      <w:r>
        <w:t xml:space="preserve">How much did declining commercial-insurance pricing affect CRB growth?</w:t>
      </w:r>
    </w:p>
    <w:p>
      <w:pPr>
        <w:pStyle w:val="Compact"/>
        <w:numPr>
          <w:ilvl w:val="0"/>
          <w:numId w:val="1011"/>
        </w:numPr>
      </w:pPr>
      <w:r>
        <w:t xml:space="preserve">Has Career returned to growth, particularly in North America?</w:t>
      </w:r>
    </w:p>
    <w:p>
      <w:pPr>
        <w:pStyle w:val="Compact"/>
        <w:numPr>
          <w:ilvl w:val="0"/>
          <w:numId w:val="1011"/>
        </w:numPr>
      </w:pPr>
      <w:r>
        <w:t xml:space="preserve">What portion of reported revenue growth came from Newfront, FlowStone and Cushon?</w:t>
      </w:r>
    </w:p>
    <w:p>
      <w:pPr>
        <w:pStyle w:val="Compact"/>
        <w:numPr>
          <w:ilvl w:val="0"/>
          <w:numId w:val="1011"/>
        </w:numPr>
      </w:pPr>
      <w:r>
        <w:t xml:space="preserve">Is Newfront tracking toward the expected $250 million of 2026 post-close revenue and roughly 26% EBITDA margin?</w:t>
      </w:r>
    </w:p>
    <w:p>
      <w:pPr>
        <w:pStyle w:val="Compact"/>
        <w:numPr>
          <w:ilvl w:val="0"/>
          <w:numId w:val="1011"/>
        </w:numPr>
      </w:pPr>
      <w:r>
        <w:t xml:space="preserve">What measurable productivity or revenue benefits are emerging from Newfront’s technology and WTW’s Neuron broking platform?</w:t>
      </w:r>
    </w:p>
    <w:p>
      <w:pPr>
        <w:pStyle w:val="Compact"/>
        <w:numPr>
          <w:ilvl w:val="0"/>
          <w:numId w:val="1011"/>
        </w:numPr>
      </w:pPr>
      <w:r>
        <w:t xml:space="preserve">How much of margin expansion came from underlying productivity versus currency and acquisition mix?</w:t>
      </w:r>
    </w:p>
    <w:p>
      <w:pPr>
        <w:pStyle w:val="Compact"/>
        <w:numPr>
          <w:ilvl w:val="0"/>
          <w:numId w:val="1011"/>
        </w:numPr>
      </w:pPr>
      <w:r>
        <w:t xml:space="preserve">Is WTW still comfortable with at least $1 billion of repurchases after its recent acquisitions?</w:t>
      </w:r>
    </w:p>
    <w:p>
      <w:pPr>
        <w:pStyle w:val="Compact"/>
        <w:numPr>
          <w:ilvl w:val="0"/>
          <w:numId w:val="1011"/>
        </w:numPr>
      </w:pPr>
      <w:r>
        <w:t xml:space="preserve">Does the first-half performance require a disproportionate growth or margin acceleration in the second half?</w:t>
      </w:r>
    </w:p>
    <w:bookmarkEnd w:id="26"/>
    <w:bookmarkStart w:id="27" w:name="bottom-line"/>
    <w:p>
      <w:pPr>
        <w:pStyle w:val="Heading2"/>
      </w:pPr>
      <w:r>
        <w:t xml:space="preserve">Bottom line</w:t>
      </w:r>
    </w:p>
    <w:p>
      <w:pPr>
        <w:pStyle w:val="FirstParagraph"/>
      </w:pPr>
      <w:r>
        <w:t xml:space="preserve">The cleanest positive result would be</w:t>
      </w:r>
      <w:r>
        <w:t xml:space="preserve"> </w:t>
      </w:r>
      <w:r>
        <w:rPr>
          <w:b/>
          <w:bCs/>
        </w:rPr>
        <w:t xml:space="preserve">roughly 5% organic growth, R&amp;B reaccelerating to at least mid-single digits, adjusted operating margin approaching or exceeding 19.5%, and unchanged or more confident full-year commentary</w:t>
      </w:r>
      <w:r>
        <w:t xml:space="preserve">.</w:t>
      </w:r>
    </w:p>
    <w:p>
      <w:pPr>
        <w:pStyle w:val="BodyText"/>
      </w:pPr>
      <w:r>
        <w:t xml:space="preserve">WTW has already demonstrated that it can expand margins and grow EPS in a softer revenue environment. This quarter needs to demonstrate that the top line is catching up. Given the stock’s sharp recovery from its post-Q1 low, the report’s reaction is likely to depend less on a small EPS beat and more on whether management validates the promised R&amp;B rebound and shows that acquisition-supported reported growth is being accompanied by healthy underlying organic performance.</w:t>
      </w:r>
    </w:p>
    <w:bookmarkEnd w:id="27"/>
    <w:bookmarkEnd w:id="28"/>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1"/>
  </w:num>
  <w:num w:numId="1008">
    <w:abstractNumId w:val="991"/>
  </w:num>
  <w:num w:numId="1009">
    <w:abstractNumId w:val="991"/>
  </w:num>
  <w:num w:numId="1010">
    <w:abstractNumId w:val="991"/>
  </w:num>
  <w:num w:numId="101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hyperlink" Id="rId9" Target="https://investors.wtwco.com/news-releases/news-release-details/wtw-announce-second-quarter-earnings-july-30-2026?utm_source=openai" TargetMode="External" /><Relationship Type="http://schemas.openxmlformats.org/officeDocument/2006/relationships/hyperlink" Id="rId16" Target="https://investors.wtwco.com/news-releases/news-release-details/wtw-reports-first-quarter-2026-earnings?utm_source=openai" TargetMode="External" /><Relationship Type="http://schemas.openxmlformats.org/officeDocument/2006/relationships/hyperlink" Id="rId12" Target="https://investors.wtwco.com/news-releases/news-release-details/wtw-reports-second-quarter-2025-earnings?utm_source=openai" TargetMode="External" /><Relationship Type="http://schemas.openxmlformats.org/officeDocument/2006/relationships/hyperlink" Id="rId19" Target="https://uk.investing.com/news/stock-market-news/wtw-completes-acquisition-of-uk-pension-provider-cushon-93CH-4649739?utm_source=openai" TargetMode="External" /><Relationship Type="http://schemas.openxmlformats.org/officeDocument/2006/relationships/hyperlink" Id="rId11" Target="https://www.benzinga.com/quote/WTW/earnings?utm_source=openai" TargetMode="External" /><Relationship Type="http://schemas.openxmlformats.org/officeDocument/2006/relationships/hyperlink" Id="rId14" Target="https://www.fool.com/earnings/call-transcripts/2026/04/30/wtw-q1-2026-earnings-call-transcript/?utm_source=openai" TargetMode="External" /><Relationship Type="http://schemas.openxmlformats.org/officeDocument/2006/relationships/hyperlink" Id="rId18" Target="https://www.wtwco.com/en-us/news/2026/04/wtw-completes-acquisition-of-flowstone-partners?utm_source=openai" TargetMode="External" /></Relationships>
</file>

<file path=word/_rels/footnotes.xml.rels><?xml version="1.0" encoding="UTF-8"?><Relationships xmlns="http://schemas.openxmlformats.org/package/2006/relationships"><Relationship Type="http://schemas.openxmlformats.org/officeDocument/2006/relationships/hyperlink" Id="rId9" Target="https://investors.wtwco.com/news-releases/news-release-details/wtw-announce-second-quarter-earnings-july-30-2026?utm_source=openai" TargetMode="External" /><Relationship Type="http://schemas.openxmlformats.org/officeDocument/2006/relationships/hyperlink" Id="rId16" Target="https://investors.wtwco.com/news-releases/news-release-details/wtw-reports-first-quarter-2026-earnings?utm_source=openai" TargetMode="External" /><Relationship Type="http://schemas.openxmlformats.org/officeDocument/2006/relationships/hyperlink" Id="rId12" Target="https://investors.wtwco.com/news-releases/news-release-details/wtw-reports-second-quarter-2025-earnings?utm_source=openai" TargetMode="External" /><Relationship Type="http://schemas.openxmlformats.org/officeDocument/2006/relationships/hyperlink" Id="rId19" Target="https://uk.investing.com/news/stock-market-news/wtw-completes-acquisition-of-uk-pension-provider-cushon-93CH-4649739?utm_source=openai" TargetMode="External" /><Relationship Type="http://schemas.openxmlformats.org/officeDocument/2006/relationships/hyperlink" Id="rId11" Target="https://www.benzinga.com/quote/WTW/earnings?utm_source=openai" TargetMode="External" /><Relationship Type="http://schemas.openxmlformats.org/officeDocument/2006/relationships/hyperlink" Id="rId14" Target="https://www.fool.com/earnings/call-transcripts/2026/04/30/wtw-q1-2026-earnings-call-transcript/?utm_source=openai" TargetMode="External" /><Relationship Type="http://schemas.openxmlformats.org/officeDocument/2006/relationships/hyperlink" Id="rId18" Target="https://www.wtwco.com/en-us/news/2026/04/wtw-completes-acquisition-of-flowstone-partners?utm_source=openai"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2026-07-29T18:21:11Z</dcterms:created>
  <dcterms:modified xsi:type="dcterms:W3CDTF">2026-07-29T18:21:11Z</dcterms:modified>
</cp:coreProperties>
</file>

<file path=docProps/custom.xml><?xml version="1.0" encoding="utf-8"?>
<Properties xmlns="http://schemas.openxmlformats.org/officeDocument/2006/custom-properties" xmlns:vt="http://schemas.openxmlformats.org/officeDocument/2006/docPropsVTypes"/>
</file>