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tw-earnings-predictions--2026-07-30"/>
    <w:p>
      <w:pPr>
        <w:pStyle w:val="Heading1"/>
      </w:pPr>
      <w:r>
        <w:t xml:space="preserve">WTW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~$3.18 vs. cons $3.12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~$2.46B vs. cons $2.41B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Risk &amp; Broking organic revenue growth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~5.0% vs. cons 5.0%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enterprise organic-growth outlook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~5.0% vs. cons 5.0%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R&amp;B organic-growth outlook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~5.0% vs. cons 5.0%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share repurchases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~$1.0B vs. cons $1.0B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R&amp;B adjusted operating-margin expansion target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~100 bps vs. cons 100 bps (average annual, FY2026-FY2027)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+3.5% (FOLLOW-THROUGH)</w:t>
            </w:r>
          </w:p>
        </w:tc>
        <w:tc>
          <w:tcPr/>
          <w:p>
            <w:pPr>
              <w:pStyle w:val="Compact"/>
            </w:pPr>
            <w:r>
              <w:t xml:space="preserve">A modest EPS and revenue beat, combined with R&amp;B organic growth near 5.0% versus 2.0% in Q1 and intact FY2026 mid-single-digit growth guidance, should support upward confidence in the back-half ramp; the key out-period math is stabilization rather than a guide cut.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2026-07-29T18:19:43Z</dcterms:created>
  <dcterms:modified xsi:type="dcterms:W3CDTF">2026-07-29T18:19:43Z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