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1" w:name="wtw-q2-2026-earnings-preview"/>
    <w:p>
      <w:pPr>
        <w:pStyle w:val="Heading1"/>
      </w:pPr>
      <w:r>
        <w:t xml:space="preserve">WTW Q2 2026 Earnings Preview</w:t>
      </w:r>
    </w:p>
    <w:p>
      <w:pPr>
        <w:pStyle w:val="FirstParagraph"/>
      </w:pPr>
      <w:r>
        <w:rPr>
          <w:b/>
          <w:bCs/>
        </w:rPr>
        <w:t xml:space="preserve">Event:</w:t>
      </w:r>
      <w:r>
        <w:t xml:space="preserve"> </w:t>
      </w:r>
      <w:r>
        <w:t xml:space="preserve">Thursday, July 30, 2026 — Q2 2026 earnings call</w:t>
      </w:r>
      <w:r>
        <w:br/>
      </w:r>
      <w:r>
        <w:rPr>
          <w:b/>
          <w:bCs/>
        </w:rPr>
        <w:t xml:space="preserve">Ticker:</w:t>
      </w:r>
      <w:r>
        <w:t xml:space="preserve"> </w:t>
      </w:r>
      <w:r>
        <w:t xml:space="preserve">NASDAQ: WTW</w:t>
      </w:r>
    </w:p>
    <w:bookmarkStart w:id="9" w:name="X342566840cbe5852ab066d5560dd417dad72028"/>
    <w:p>
      <w:pPr>
        <w:pStyle w:val="Heading2"/>
      </w:pPr>
      <w:r>
        <w:t xml:space="preserve">Investment view: the report is about proving that Q1 was a trough in organic growth</w:t>
      </w:r>
    </w:p>
    <w:p>
      <w:pPr>
        <w:pStyle w:val="FirstParagraph"/>
      </w:pPr>
      <w:r>
        <w:t xml:space="preserve">WTW enters Q2 with the central debate unchanged: can it restore</w:t>
      </w:r>
      <w:r>
        <w:t xml:space="preserve"> </w:t>
      </w:r>
      <w:r>
        <w:rPr>
          <w:b/>
          <w:bCs/>
        </w:rPr>
        <w:t xml:space="preserve">mid-single-digit organic revenue growth</w:t>
      </w:r>
      <w:r>
        <w:t xml:space="preserve"> </w:t>
      </w:r>
      <w:r>
        <w:t xml:space="preserve">after a 3% organic-growth Q1, while continuing to expand margins and integrate Newfront?</w:t>
      </w:r>
    </w:p>
    <w:p>
      <w:pPr>
        <w:pStyle w:val="BodyText"/>
      </w:pPr>
      <w:r>
        <w:t xml:space="preserve">The setup is more constructive than it was after Q1. Management said that Risk &amp; Broking (R&amp;B) returned to</w:t>
      </w:r>
      <w:r>
        <w:t xml:space="preserve"> </w:t>
      </w:r>
      <w:r>
        <w:rPr>
          <w:b/>
          <w:bCs/>
        </w:rPr>
        <w:t xml:space="preserve">mid-single-digit-or-better growth in April</w:t>
      </w:r>
      <w:r>
        <w:t xml:space="preserve">, following a weak 2% organic-growth Q1. But the Q2 comparison is more demanding—WTW grew organic revenue 5% in Q2 2025, including 6% in R&amp;B—and investors will want evidence that April’s improvement persisted through the quarter rather than represented a one-month rebound.</w:t>
      </w:r>
    </w:p>
    <w:p>
      <w:pPr>
        <w:pStyle w:val="BodyText"/>
      </w:pPr>
      <w:r>
        <w:t xml:space="preserve">The stock has already recovered meaningfully from the Q1 earnings reaction: WTW closed at</w:t>
      </w:r>
      <w:r>
        <w:t xml:space="preserve"> </w:t>
      </w:r>
      <w:r>
        <w:rPr>
          <w:b/>
          <w:bCs/>
        </w:rPr>
        <w:t xml:space="preserve">$317.00 on July 29</w:t>
      </w:r>
      <w:r>
        <w:t xml:space="preserve">, up roughly 24% from its April 30 close of $256.20, though still about 3.5% below its December 31, 2025 close. That recovery raises the bar for a clean acceleration in growth and a reaffirmation of the full-year framework.</w:t>
      </w:r>
    </w:p>
    <w:bookmarkEnd w:id="9"/>
    <w:bookmarkStart w:id="15" w:name="what-matters-most"/>
    <w:p>
      <w:pPr>
        <w:pStyle w:val="Heading2"/>
      </w:pPr>
      <w:r>
        <w:t xml:space="preserve">What matters most</w:t>
      </w:r>
    </w:p>
    <w:bookmarkStart w:id="10" w:name="X22bf83b03d4654a56098878e63cdf40acd5bc6d"/>
    <w:p>
      <w:pPr>
        <w:pStyle w:val="Heading3"/>
      </w:pPr>
      <w:r>
        <w:t xml:space="preserve">1. R&amp;B organic growth: the decisive KPI</w:t>
      </w:r>
    </w:p>
    <w:p>
      <w:pPr>
        <w:pStyle w:val="FirstParagraph"/>
      </w:pPr>
      <w:r>
        <w:t xml:space="preserve">R&amp;B is the largest near-term swing factor. In Q1, segment organic growth slowed to</w:t>
      </w:r>
      <w:r>
        <w:t xml:space="preserve"> </w:t>
      </w:r>
      <w:r>
        <w:rPr>
          <w:b/>
          <w:bCs/>
        </w:rPr>
        <w:t xml:space="preserve">2%</w:t>
      </w:r>
      <w:r>
        <w:t xml:space="preserve">, with Corporate Risk &amp; Broking (CRB) also up 2%, amid below-plan new-business production, a tougher prior-year comparison, softer pricing in large and complex accounts, and geopolitical-related delays in some international business.</w:t>
      </w:r>
    </w:p>
    <w:p>
      <w:pPr>
        <w:pStyle w:val="BodyText"/>
      </w:pPr>
      <w:r>
        <w:t xml:space="preserve">For Q2, investors should focus on: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Whether R&amp;B returns to mid-single-digit organic growth.</w:t>
      </w:r>
      <w:r>
        <w:t xml:space="preserve"> </w:t>
      </w:r>
      <w:r>
        <w:t xml:space="preserve">Management explicitly characterized April as “mid-single digit or better.” A Q2 result consistent with that statement would support the idea that Q1 was timing-driven.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CRB versus ICT.</w:t>
      </w:r>
      <w:r>
        <w:t xml:space="preserve"> </w:t>
      </w:r>
      <w:r>
        <w:t xml:space="preserve">ICT grew 5% in Q1 on software sales, while CRB was the source of the slowdown. A recovery in CRB—not merely strength in ICT—is needed to validate the outlook.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New-business conversion and pricing.</w:t>
      </w:r>
      <w:r>
        <w:t xml:space="preserve"> </w:t>
      </w:r>
      <w:r>
        <w:t xml:space="preserve">WTW said some missed Q1 new business was pushed into later quarters. Investors will want to hear that this business closed, while monitoring whether softening insurance rates are creating a larger-than-expected headwind.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International versus North America.</w:t>
      </w:r>
      <w:r>
        <w:t xml:space="preserve"> </w:t>
      </w:r>
      <w:r>
        <w:t xml:space="preserve">North America was the best-performing region in Q1, while international faced the toughest comparison and more geopolitical exposure.</w:t>
      </w:r>
    </w:p>
    <w:p>
      <w:pPr>
        <w:pStyle w:val="FirstParagraph"/>
      </w:pPr>
      <w:r>
        <w:t xml:space="preserve">The key downside scenario is that Q2 R&amp;B growth remains near Q1’s level. That would make the company’s mid-single-digit full-year outlook increasingly dependent on a back-half acceleration.</w:t>
      </w:r>
    </w:p>
    <w:bookmarkEnd w:id="10"/>
    <w:bookmarkStart w:id="11" w:name="X6c20b2b67aad5757c7c39987d0fd47279244ba3"/>
    <w:p>
      <w:pPr>
        <w:pStyle w:val="Heading3"/>
      </w:pPr>
      <w:r>
        <w:t xml:space="preserve">2. HWC needs Health and Wealth to offset Career softness</w:t>
      </w:r>
    </w:p>
    <w:p>
      <w:pPr>
        <w:pStyle w:val="FirstParagraph"/>
      </w:pPr>
      <w:r>
        <w:t xml:space="preserve">Health, Wealth &amp; Career (HWC) posted 3% organic growth in Q1. The composition was mixed: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Q1 2026 organic growth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Performance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Health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+6%</w:t>
            </w:r>
          </w:p>
        </w:tc>
      </w:tr>
      <w:tr>
        <w:tc>
          <w:tcPr/>
          <w:p>
            <w:pPr>
              <w:pStyle w:val="Compact"/>
            </w:pPr>
            <w:r>
              <w:t xml:space="preserve">Wealth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+4%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Career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-3%</w:t>
            </w:r>
          </w:p>
        </w:tc>
      </w:tr>
      <w:tr>
        <w:tc>
          <w:tcPr/>
          <w:p>
            <w:pPr>
              <w:pStyle w:val="Compact"/>
            </w:pPr>
            <w:r>
              <w:t xml:space="preserve">Benefits Delivery &amp; Outsourcing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-1%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HWC total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+3%</w:t>
            </w:r>
          </w:p>
        </w:tc>
      </w:tr>
    </w:tbl>
    <w:p>
      <w:pPr>
        <w:pStyle w:val="BodyText"/>
      </w:pPr>
      <w:r>
        <w:t xml:space="preserve">The Q2 questions are straightforward: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Health:</w:t>
      </w:r>
      <w:r>
        <w:t xml:space="preserve"> </w:t>
      </w:r>
      <w:r>
        <w:t xml:space="preserve">Can it sustain strong growth on healthcare-cost inflation, retention, international wins, and demand for specialty and cost-management solutions?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Wealth:</w:t>
      </w:r>
      <w:r>
        <w:t xml:space="preserve"> </w:t>
      </w:r>
      <w:r>
        <w:t xml:space="preserve">Does retirement work, investment activity, OCIO demand, and LifeSight momentum continue to support low-single-digit-to-better growth?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Career:</w:t>
      </w:r>
      <w:r>
        <w:t xml:space="preserve"> </w:t>
      </w:r>
      <w:r>
        <w:t xml:space="preserve">Is advisory-project deferral beginning to ease, particularly in North America and the Middle East? Management expected better pipeline conversion later in 2026, helped by compensation benchmarking, EU pay-transparency work, M&amp;A activity, and new AI workforce-transformation offerings.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BD&amp;O:</w:t>
      </w:r>
      <w:r>
        <w:t xml:space="preserve"> </w:t>
      </w:r>
      <w:r>
        <w:t xml:space="preserve">This business is not the key Q2 driver. Individual Marketplace revenue is heavily weighted to Q4, so modest quarterly results would not necessarily undermine full-year expectations.</w:t>
      </w:r>
    </w:p>
    <w:p>
      <w:pPr>
        <w:pStyle w:val="FirstParagraph"/>
      </w:pPr>
      <w:r>
        <w:t xml:space="preserve">HWC’s Q2 2025 organic-growth comparison was</w:t>
      </w:r>
      <w:r>
        <w:t xml:space="preserve"> </w:t>
      </w:r>
      <w:r>
        <w:rPr>
          <w:b/>
          <w:bCs/>
        </w:rPr>
        <w:t xml:space="preserve">4%</w:t>
      </w:r>
      <w:r>
        <w:t xml:space="preserve">, so simply holding around Q1’s 3% would be acceptable but not especially compelling. Improvement in Career would be an incremental positive.</w:t>
      </w:r>
    </w:p>
    <w:bookmarkEnd w:id="11"/>
    <w:bookmarkStart w:id="12" w:name="X272cc09a69ce6ef5eb346d575e7c159f41f4df9"/>
    <w:p>
      <w:pPr>
        <w:pStyle w:val="Heading3"/>
      </w:pPr>
      <w:r>
        <w:t xml:space="preserve">3. Margin delivery needs to remain intact even if growth is only moderate</w:t>
      </w:r>
    </w:p>
    <w:p>
      <w:pPr>
        <w:pStyle w:val="FirstParagraph"/>
      </w:pPr>
      <w:r>
        <w:t xml:space="preserve">WTW’s Q1 adjusted operating margin expanded</w:t>
      </w:r>
      <w:r>
        <w:t xml:space="preserve"> </w:t>
      </w:r>
      <w:r>
        <w:rPr>
          <w:b/>
          <w:bCs/>
        </w:rPr>
        <w:t xml:space="preserve">70 basis points to 22.3%</w:t>
      </w:r>
      <w:r>
        <w:t xml:space="preserve">, despite the slower revenue outcome. This was the strongest aspect of the quarter and reflected expense discipline, operating leverage, foreign exchange, and early productivity gains.</w:t>
      </w:r>
    </w:p>
    <w:p>
      <w:pPr>
        <w:pStyle w:val="BodyText"/>
      </w:pPr>
      <w:r>
        <w:t xml:space="preserve">However, investors should separate reported margin expansion from underlying progress:</w:t>
      </w:r>
    </w:p>
    <w:p>
      <w:pPr>
        <w:pStyle w:val="Compact"/>
        <w:numPr>
          <w:ilvl w:val="0"/>
          <w:numId w:val="1003"/>
        </w:numPr>
      </w:pPr>
      <w:r>
        <w:t xml:space="preserve">R&amp;B segment margin rose 60 bps in Q1, but only about</w:t>
      </w:r>
      <w:r>
        <w:t xml:space="preserve"> </w:t>
      </w:r>
      <w:r>
        <w:rPr>
          <w:b/>
          <w:bCs/>
        </w:rPr>
        <w:t xml:space="preserve">10 bps excluding FX, book-of-business activity, and acquisitions</w:t>
      </w:r>
      <w:r>
        <w:t xml:space="preserve">.</w:t>
      </w:r>
    </w:p>
    <w:p>
      <w:pPr>
        <w:pStyle w:val="Compact"/>
        <w:numPr>
          <w:ilvl w:val="0"/>
          <w:numId w:val="1003"/>
        </w:numPr>
      </w:pPr>
      <w:r>
        <w:t xml:space="preserve">WTW still targets approximately</w:t>
      </w:r>
      <w:r>
        <w:t xml:space="preserve"> </w:t>
      </w:r>
      <w:r>
        <w:rPr>
          <w:b/>
          <w:bCs/>
        </w:rPr>
        <w:t xml:space="preserve">100 bps of average annual margin expansion in R&amp;B over the next two years</w:t>
      </w:r>
      <w:r>
        <w:t xml:space="preserve">, plus further HWC improvement.</w:t>
      </w:r>
    </w:p>
    <w:p>
      <w:pPr>
        <w:pStyle w:val="Compact"/>
        <w:numPr>
          <w:ilvl w:val="0"/>
          <w:numId w:val="1003"/>
        </w:numPr>
      </w:pPr>
      <w:r>
        <w:t xml:space="preserve">Q2 is seasonally lower-margin than Q1. In Q2 2025, adjusted operating margin was</w:t>
      </w:r>
      <w:r>
        <w:t xml:space="preserve"> </w:t>
      </w:r>
      <w:r>
        <w:rPr>
          <w:b/>
          <w:bCs/>
        </w:rPr>
        <w:t xml:space="preserve">18.5%</w:t>
      </w:r>
      <w:r>
        <w:t xml:space="preserve">, versus 22.3% in Q1 2025.</w:t>
      </w:r>
    </w:p>
    <w:p>
      <w:pPr>
        <w:pStyle w:val="FirstParagraph"/>
      </w:pPr>
      <w:r>
        <w:t xml:space="preserve">Accordingly, the relevant question is less the absolute Q2 margin and more whether WTW can show year-over-year expansion while continuing to invest in growth hires, AI, and Newfront integration.</w:t>
      </w:r>
    </w:p>
    <w:bookmarkEnd w:id="12"/>
    <w:bookmarkStart w:id="13" w:name="X0ec4c068cd53fc234b10b1b4a9e0ab48e536f44"/>
    <w:p>
      <w:pPr>
        <w:pStyle w:val="Heading3"/>
      </w:pPr>
      <w:r>
        <w:t xml:space="preserve">4. Newfront: reported-growth help now, strategic proof later</w:t>
      </w:r>
    </w:p>
    <w:p>
      <w:pPr>
        <w:pStyle w:val="FirstParagraph"/>
      </w:pPr>
      <w:r>
        <w:t xml:space="preserve">Newfront closed on</w:t>
      </w:r>
      <w:r>
        <w:t xml:space="preserve"> </w:t>
      </w:r>
      <w:r>
        <w:rPr>
          <w:b/>
          <w:bCs/>
        </w:rPr>
        <w:t xml:space="preserve">January 27, 2026</w:t>
      </w:r>
      <w:r>
        <w:t xml:space="preserve">. WTW expects approximately</w:t>
      </w:r>
      <w:r>
        <w:t xml:space="preserve"> </w:t>
      </w:r>
      <w:r>
        <w:rPr>
          <w:b/>
          <w:bCs/>
        </w:rPr>
        <w:t xml:space="preserve">$250 million of 2026 post-close revenue</w:t>
      </w:r>
      <w:r>
        <w:t xml:space="preserve"> </w:t>
      </w:r>
      <w:r>
        <w:t xml:space="preserve">from the acquisition, at an adjusted EBITDA margin of roughly 26%. Approximately 58% of Newfront is allocated to R&amp;B and 42% to HWC.</w:t>
      </w:r>
    </w:p>
    <w:p>
      <w:pPr>
        <w:pStyle w:val="BodyText"/>
      </w:pPr>
      <w:r>
        <w:t xml:space="preserve">Q2 should provide a fuller read on:</w:t>
      </w:r>
    </w:p>
    <w:p>
      <w:pPr>
        <w:pStyle w:val="Compact"/>
        <w:numPr>
          <w:ilvl w:val="0"/>
          <w:numId w:val="1004"/>
        </w:numPr>
      </w:pPr>
      <w:r>
        <w:t xml:space="preserve">revenue contribution and mix by segment;</w:t>
      </w:r>
    </w:p>
    <w:p>
      <w:pPr>
        <w:pStyle w:val="Compact"/>
        <w:numPr>
          <w:ilvl w:val="0"/>
          <w:numId w:val="1004"/>
        </w:numPr>
      </w:pPr>
      <w:r>
        <w:t xml:space="preserve">integration costs and acquisition-related compensation;</w:t>
      </w:r>
    </w:p>
    <w:p>
      <w:pPr>
        <w:pStyle w:val="Compact"/>
        <w:numPr>
          <w:ilvl w:val="0"/>
          <w:numId w:val="1004"/>
        </w:numPr>
      </w:pPr>
      <w:r>
        <w:t xml:space="preserve">cross-selling wins that combine Newfront technology with WTW’s distribution and specialist capabilities;</w:t>
      </w:r>
    </w:p>
    <w:p>
      <w:pPr>
        <w:pStyle w:val="Compact"/>
        <w:numPr>
          <w:ilvl w:val="0"/>
          <w:numId w:val="1004"/>
        </w:numPr>
      </w:pPr>
      <w:r>
        <w:t xml:space="preserve">adoption of Newfront tools within WTW’s North American operations.</w:t>
      </w:r>
    </w:p>
    <w:p>
      <w:pPr>
        <w:pStyle w:val="FirstParagraph"/>
      </w:pPr>
      <w:r>
        <w:t xml:space="preserve">The acquisition is expected to be approximately</w:t>
      </w:r>
      <w:r>
        <w:t xml:space="preserve"> </w:t>
      </w:r>
      <w:r>
        <w:rPr>
          <w:b/>
          <w:bCs/>
        </w:rPr>
        <w:t xml:space="preserve">$0.10 dilutive to adjusted EPS in 2026</w:t>
      </w:r>
      <w:r>
        <w:t xml:space="preserve">, so investors should not expect it to be immediately accretive. The more important question is whether management can demonstrate early commercial and productivity benefits that make the strategic case credible.</w:t>
      </w:r>
    </w:p>
    <w:bookmarkEnd w:id="13"/>
    <w:bookmarkStart w:id="14" w:name="X9576de44771244139e21ecc5e874c2c01e1dbaa"/>
    <w:p>
      <w:pPr>
        <w:pStyle w:val="Heading3"/>
      </w:pPr>
      <w:r>
        <w:t xml:space="preserve">5. Guidance is likely more important than the headline EPS result</w:t>
      </w:r>
    </w:p>
    <w:p>
      <w:pPr>
        <w:pStyle w:val="FirstParagraph"/>
      </w:pPr>
      <w:r>
        <w:t xml:space="preserve">WTW’s Q1 guidance and financial considerations included: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mid-single-digit organic growth</w:t>
      </w:r>
      <w:r>
        <w:t xml:space="preserve"> </w:t>
      </w:r>
      <w:r>
        <w:t xml:space="preserve">at both HWC and R&amp;B for 2026;</w:t>
      </w:r>
    </w:p>
    <w:p>
      <w:pPr>
        <w:pStyle w:val="Compact"/>
        <w:numPr>
          <w:ilvl w:val="0"/>
          <w:numId w:val="1005"/>
        </w:numPr>
      </w:pPr>
      <w:r>
        <w:t xml:space="preserve">continued enterprise margin expansion;</w:t>
      </w:r>
    </w:p>
    <w:p>
      <w:pPr>
        <w:pStyle w:val="Compact"/>
        <w:numPr>
          <w:ilvl w:val="0"/>
          <w:numId w:val="1005"/>
        </w:numPr>
      </w:pPr>
      <w:r>
        <w:t xml:space="preserve">continued improvement in free-cash-flow margin;</w:t>
      </w:r>
    </w:p>
    <w:p>
      <w:pPr>
        <w:pStyle w:val="Compact"/>
        <w:numPr>
          <w:ilvl w:val="0"/>
          <w:numId w:val="1005"/>
        </w:numPr>
      </w:pPr>
      <w:r>
        <w:t xml:space="preserve">at least</w:t>
      </w:r>
      <w:r>
        <w:t xml:space="preserve"> </w:t>
      </w:r>
      <w:r>
        <w:rPr>
          <w:b/>
          <w:bCs/>
        </w:rPr>
        <w:t xml:space="preserve">$1.0 billion</w:t>
      </w:r>
      <w:r>
        <w:t xml:space="preserve"> </w:t>
      </w:r>
      <w:r>
        <w:t xml:space="preserve">of 2026 share repurchases, subject to market conditions and investment opportunities;</w:t>
      </w:r>
    </w:p>
    <w:p>
      <w:pPr>
        <w:pStyle w:val="Compact"/>
        <w:numPr>
          <w:ilvl w:val="0"/>
          <w:numId w:val="1005"/>
        </w:numPr>
      </w:pPr>
      <w:r>
        <w:t xml:space="preserve">approximately</w:t>
      </w:r>
      <w:r>
        <w:t xml:space="preserve"> </w:t>
      </w:r>
      <w:r>
        <w:rPr>
          <w:b/>
          <w:bCs/>
        </w:rPr>
        <w:t xml:space="preserve">$0.30</w:t>
      </w:r>
      <w:r>
        <w:t xml:space="preserve"> </w:t>
      </w:r>
      <w:r>
        <w:t xml:space="preserve">of adjusted-EPS headwind from the Willis Re joint venture;</w:t>
      </w:r>
    </w:p>
    <w:p>
      <w:pPr>
        <w:pStyle w:val="Compact"/>
        <w:numPr>
          <w:ilvl w:val="0"/>
          <w:numId w:val="1005"/>
        </w:numPr>
      </w:pPr>
      <w:r>
        <w:t xml:space="preserve">approximately</w:t>
      </w:r>
      <w:r>
        <w:t xml:space="preserve"> </w:t>
      </w:r>
      <w:r>
        <w:rPr>
          <w:b/>
          <w:bCs/>
        </w:rPr>
        <w:t xml:space="preserve">$0.35</w:t>
      </w:r>
      <w:r>
        <w:t xml:space="preserve"> </w:t>
      </w:r>
      <w:r>
        <w:t xml:space="preserve">of full-year adjusted-EPS tailwind from foreign exchange at then-current rates.</w:t>
      </w:r>
    </w:p>
    <w:p>
      <w:pPr>
        <w:pStyle w:val="FirstParagraph"/>
      </w:pPr>
      <w:r>
        <w:t xml:space="preserve">Given that Q1 revenue was at the low end of plan, investors will be particularly sensitive to any change in the organic-growth outlook. A reaffirmation, supported by a stronger Q2 trajectory and healthy pipeline commentary, would likely be taken constructively. A narrower or lower range would likely outweigh otherwise solid EPS delivery.</w:t>
      </w:r>
    </w:p>
    <w:bookmarkEnd w:id="14"/>
    <w:bookmarkEnd w:id="15"/>
    <w:bookmarkStart w:id="16" w:name="q2-2026-comparison-framework"/>
    <w:p>
      <w:pPr>
        <w:pStyle w:val="Heading2"/>
      </w:pPr>
      <w:r>
        <w:t xml:space="preserve">Q2 2026 comparison framework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Metric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Q2 2025 actual</w:t>
            </w:r>
          </w:p>
        </w:tc>
        <w:tc>
          <w:tcPr/>
          <w:p>
            <w:pPr>
              <w:pStyle w:val="Compact"/>
            </w:pPr>
            <w:r>
              <w:t xml:space="preserve">Why it matters in Q2 2026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Revenue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$2.26B</w:t>
            </w:r>
          </w:p>
        </w:tc>
        <w:tc>
          <w:tcPr/>
          <w:p>
            <w:pPr>
              <w:pStyle w:val="Compact"/>
            </w:pPr>
            <w:r>
              <w:t xml:space="preserve">Reported growth should benefit from acquisitions and currency; organic growth is the cleaner measure</w:t>
            </w:r>
          </w:p>
        </w:tc>
      </w:tr>
      <w:tr>
        <w:tc>
          <w:tcPr/>
          <w:p>
            <w:pPr>
              <w:pStyle w:val="Compact"/>
            </w:pPr>
            <w:r>
              <w:t xml:space="preserve">Organic revenue growth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5%</w:t>
            </w:r>
          </w:p>
        </w:tc>
        <w:tc>
          <w:tcPr/>
          <w:p>
            <w:pPr>
              <w:pStyle w:val="Compact"/>
            </w:pPr>
            <w:r>
              <w:t xml:space="preserve">Core test of whether growth has reaccelerated from Q1’s 3%</w:t>
            </w:r>
          </w:p>
        </w:tc>
      </w:tr>
      <w:tr>
        <w:tc>
          <w:tcPr/>
          <w:p>
            <w:pPr>
              <w:pStyle w:val="Compact"/>
            </w:pPr>
            <w:r>
              <w:t xml:space="preserve">HWC organic growth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4%</w:t>
            </w:r>
          </w:p>
        </w:tc>
        <w:tc>
          <w:tcPr/>
          <w:p>
            <w:pPr>
              <w:pStyle w:val="Compact"/>
            </w:pPr>
            <w:r>
              <w:t xml:space="preserve">Health and Wealth must offset continued Career/BD&amp;O softness</w:t>
            </w:r>
          </w:p>
        </w:tc>
      </w:tr>
      <w:tr>
        <w:tc>
          <w:tcPr/>
          <w:p>
            <w:pPr>
              <w:pStyle w:val="Compact"/>
            </w:pPr>
            <w:r>
              <w:t xml:space="preserve">R&amp;B organic growth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6%</w:t>
            </w:r>
          </w:p>
        </w:tc>
        <w:tc>
          <w:tcPr/>
          <w:p>
            <w:pPr>
              <w:pStyle w:val="Compact"/>
            </w:pPr>
            <w:r>
              <w:t xml:space="preserve">Tough comparison; needs a clear recovery from Q1’s 2%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Adjusted operating margin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18.5%</w:t>
            </w:r>
          </w:p>
        </w:tc>
        <w:tc>
          <w:tcPr/>
          <w:p>
            <w:pPr>
              <w:pStyle w:val="Compact"/>
            </w:pPr>
            <w:r>
              <w:t xml:space="preserve">Q2 is seasonally lower-margin; focus on year-over-year expansion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Adjusted diluted EPS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$2.86</w:t>
            </w:r>
          </w:p>
        </w:tc>
        <w:tc>
          <w:tcPr/>
          <w:p>
            <w:pPr>
              <w:pStyle w:val="Compact"/>
            </w:pPr>
            <w:r>
              <w:t xml:space="preserve">Compare cautiously given FX, acquisitions, buybacks, and changing pension/associate items</w:t>
            </w:r>
          </w:p>
        </w:tc>
      </w:tr>
      <w:tr>
        <w:tc>
          <w:tcPr/>
          <w:p>
            <w:pPr>
              <w:pStyle w:val="Compact"/>
            </w:pPr>
            <w:r>
              <w:t xml:space="preserve">H1 free cash flow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$217M</w:t>
            </w:r>
          </w:p>
        </w:tc>
        <w:tc>
          <w:tcPr/>
          <w:p>
            <w:pPr>
              <w:pStyle w:val="Compact"/>
            </w:pPr>
            <w:r>
              <w:t xml:space="preserve">Q2 should be a meaningful seasonal cash-generation quarter after Q1’s negative FCF</w:t>
            </w:r>
          </w:p>
        </w:tc>
      </w:tr>
    </w:tbl>
    <w:bookmarkEnd w:id="16"/>
    <w:bookmarkStart w:id="17" w:name="cash-flow-buybacks-and-balance-sheet"/>
    <w:p>
      <w:pPr>
        <w:pStyle w:val="Heading2"/>
      </w:pPr>
      <w:r>
        <w:t xml:space="preserve">Cash flow, buybacks, and balance sheet</w:t>
      </w:r>
    </w:p>
    <w:p>
      <w:pPr>
        <w:pStyle w:val="FirstParagraph"/>
      </w:pPr>
      <w:r>
        <w:t xml:space="preserve">WTW produced</w:t>
      </w:r>
      <w:r>
        <w:t xml:space="preserve"> </w:t>
      </w:r>
      <w:r>
        <w:rPr>
          <w:b/>
          <w:bCs/>
        </w:rPr>
        <w:t xml:space="preserve">negative $65 million of free cash flow in Q1</w:t>
      </w:r>
      <w:r>
        <w:t xml:space="preserve">, which is normal seasonally and improved from negative $86 million a year earlier. Q2 is the more relevant near-term cash-conversion checkpoint: in 2025, WTW generated $217 million of free cash flow in the first half, implying substantial positive second-quarter cash flow.</w:t>
      </w:r>
    </w:p>
    <w:p>
      <w:pPr>
        <w:pStyle w:val="BodyText"/>
      </w:pPr>
      <w:r>
        <w:t xml:space="preserve">The company ended Q1 with: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$1.86 billion</w:t>
      </w:r>
      <w:r>
        <w:t xml:space="preserve"> </w:t>
      </w:r>
      <w:r>
        <w:t xml:space="preserve">of cash and cash equivalents;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$6.30 billion</w:t>
      </w:r>
      <w:r>
        <w:t xml:space="preserve"> </w:t>
      </w:r>
      <w:r>
        <w:t xml:space="preserve">of total debt;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2.3x</w:t>
      </w:r>
      <w:r>
        <w:t xml:space="preserve"> </w:t>
      </w:r>
      <w:r>
        <w:t xml:space="preserve">debt-to-trailing-12-month adjusted EBITDA;</w:t>
      </w:r>
    </w:p>
    <w:p>
      <w:pPr>
        <w:pStyle w:val="Compact"/>
        <w:numPr>
          <w:ilvl w:val="0"/>
          <w:numId w:val="1006"/>
        </w:numPr>
      </w:pPr>
      <w:r>
        <w:t xml:space="preserve">$300 million of Q1 share repurchases;</w:t>
      </w:r>
    </w:p>
    <w:p>
      <w:pPr>
        <w:pStyle w:val="Compact"/>
        <w:numPr>
          <w:ilvl w:val="0"/>
          <w:numId w:val="1006"/>
        </w:numPr>
      </w:pPr>
      <w:r>
        <w:t xml:space="preserve">approximately</w:t>
      </w:r>
      <w:r>
        <w:t xml:space="preserve"> </w:t>
      </w:r>
      <w:r>
        <w:rPr>
          <w:b/>
          <w:bCs/>
        </w:rPr>
        <w:t xml:space="preserve">$992 million</w:t>
      </w:r>
      <w:r>
        <w:t xml:space="preserve"> </w:t>
      </w:r>
      <w:r>
        <w:t xml:space="preserve">remaining under the repurchase authorization as of March 31.</w:t>
      </w:r>
    </w:p>
    <w:p>
      <w:pPr>
        <w:pStyle w:val="FirstParagraph"/>
      </w:pPr>
      <w:r>
        <w:t xml:space="preserve">A healthy Q2 cash result and continued buybacks would reinforce the narrative that Newfront does not compromise WTW’s balance-sheet flexibility or capital-return capacity.</w:t>
      </w:r>
    </w:p>
    <w:bookmarkEnd w:id="17"/>
    <w:bookmarkStart w:id="18" w:name="what-would-make-the-quarter-bullish"/>
    <w:p>
      <w:pPr>
        <w:pStyle w:val="Heading2"/>
      </w:pPr>
      <w:r>
        <w:t xml:space="preserve">What would make the quarter bullish?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R&amp;B organic growth at or above mid-single digits</w:t>
      </w:r>
      <w:r>
        <w:t xml:space="preserve">, confirming that the Q1 slowdown was temporary.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HWC growth improvement</w:t>
      </w:r>
      <w:r>
        <w:t xml:space="preserve">, particularly stabilization in Career alongside continued Health momentum.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Adjusted-margin expansion</w:t>
      </w:r>
      <w:r>
        <w:t xml:space="preserve"> </w:t>
      </w:r>
      <w:r>
        <w:t xml:space="preserve">that is visibly driven by productivity and expense discipline rather than solely FX.</w:t>
      </w:r>
    </w:p>
    <w:p>
      <w:pPr>
        <w:pStyle w:val="Compact"/>
        <w:numPr>
          <w:ilvl w:val="0"/>
          <w:numId w:val="1007"/>
        </w:numPr>
      </w:pPr>
      <w:r>
        <w:t xml:space="preserve">Clear evidence of</w:t>
      </w:r>
      <w:r>
        <w:t xml:space="preserve"> </w:t>
      </w:r>
      <w:r>
        <w:rPr>
          <w:b/>
          <w:bCs/>
        </w:rPr>
        <w:t xml:space="preserve">Newfront cross-selling, technology adoption, and integration progress</w:t>
      </w:r>
      <w:r>
        <w:t xml:space="preserve">.</w:t>
      </w:r>
    </w:p>
    <w:p>
      <w:pPr>
        <w:pStyle w:val="Compact"/>
        <w:numPr>
          <w:ilvl w:val="0"/>
          <w:numId w:val="1007"/>
        </w:numPr>
      </w:pPr>
      <w:r>
        <w:t xml:space="preserve">Reaffirmed full-year mid-single-digit organic-growth, margin, free-cash-flow, and buyback outlooks.</w:t>
      </w:r>
    </w:p>
    <w:bookmarkEnd w:id="18"/>
    <w:bookmarkStart w:id="19" w:name="Xeac88c1f4cbfab8895a80389d4724d62e3c9ae0"/>
    <w:p>
      <w:pPr>
        <w:pStyle w:val="Heading2"/>
      </w:pPr>
      <w:r>
        <w:t xml:space="preserve">What would make the quarter disappointing?</w:t>
      </w:r>
    </w:p>
    <w:p>
      <w:pPr>
        <w:pStyle w:val="Compact"/>
        <w:numPr>
          <w:ilvl w:val="0"/>
          <w:numId w:val="1008"/>
        </w:numPr>
      </w:pPr>
      <w:r>
        <w:t xml:space="preserve">R&amp;B growth remains below mid-single digits, especially if weak new-business conversion or pricing is the cause.</w:t>
      </w:r>
    </w:p>
    <w:p>
      <w:pPr>
        <w:pStyle w:val="Compact"/>
        <w:numPr>
          <w:ilvl w:val="0"/>
          <w:numId w:val="1008"/>
        </w:numPr>
      </w:pPr>
      <w:r>
        <w:t xml:space="preserve">Career declines worsen or Health growth moderates materially.</w:t>
      </w:r>
    </w:p>
    <w:p>
      <w:pPr>
        <w:pStyle w:val="Compact"/>
        <w:numPr>
          <w:ilvl w:val="0"/>
          <w:numId w:val="1008"/>
        </w:numPr>
      </w:pPr>
      <w:r>
        <w:t xml:space="preserve">Margin expansion fails to offset lower growth, implying a less favorable operating-leverage profile.</w:t>
      </w:r>
    </w:p>
    <w:p>
      <w:pPr>
        <w:pStyle w:val="Compact"/>
        <w:numPr>
          <w:ilvl w:val="0"/>
          <w:numId w:val="1008"/>
        </w:numPr>
      </w:pPr>
      <w:r>
        <w:t xml:space="preserve">Newfront integration costs, dilution, or retention issues exceed expectations.</w:t>
      </w:r>
    </w:p>
    <w:p>
      <w:pPr>
        <w:pStyle w:val="Compact"/>
        <w:numPr>
          <w:ilvl w:val="0"/>
          <w:numId w:val="1008"/>
        </w:numPr>
      </w:pPr>
      <w:r>
        <w:t xml:space="preserve">Guidance is reduced or management’s commentary suggests the back-half ramp is more uncertain than previously indicated.</w:t>
      </w:r>
    </w:p>
    <w:bookmarkEnd w:id="19"/>
    <w:bookmarkStart w:id="20" w:name="bottom-line"/>
    <w:p>
      <w:pPr>
        <w:pStyle w:val="Heading2"/>
      </w:pPr>
      <w:r>
        <w:t xml:space="preserve">Bottom line</w:t>
      </w:r>
    </w:p>
    <w:p>
      <w:pPr>
        <w:pStyle w:val="FirstParagraph"/>
      </w:pPr>
      <w:r>
        <w:t xml:space="preserve">WTW does not need a spectacular quarter to work; it needs a</w:t>
      </w:r>
      <w:r>
        <w:t xml:space="preserve"> </w:t>
      </w:r>
      <w:r>
        <w:rPr>
          <w:b/>
          <w:bCs/>
        </w:rPr>
        <w:t xml:space="preserve">credible growth reacceleration</w:t>
      </w:r>
      <w:r>
        <w:t xml:space="preserve">. The company has already demonstrated that it can protect margins in a slower-growth environment. The Q2 catalyst is confirmation that R&amp;B’s April rebound continued, that HWC’s durable Health and Wealth businesses are offsetting temporary Career weakness, and that Newfront is beginning to enhance—not distract from—the core operating story.</w:t>
      </w:r>
    </w:p>
    <w:p>
      <w:pPr>
        <w:pStyle w:val="BodyText"/>
      </w:pPr>
      <w:r>
        <w:t xml:space="preserve">For investors, the hierarchy of evidence should be:</w:t>
      </w:r>
    </w:p>
    <w:p>
      <w:pPr>
        <w:pStyle w:val="Compact"/>
        <w:numPr>
          <w:ilvl w:val="0"/>
          <w:numId w:val="1009"/>
        </w:numPr>
      </w:pPr>
      <w:r>
        <w:rPr>
          <w:b/>
          <w:bCs/>
        </w:rPr>
        <w:t xml:space="preserve">Organic growth, especially R&amp;B</w:t>
      </w:r>
    </w:p>
    <w:p>
      <w:pPr>
        <w:pStyle w:val="Compact"/>
        <w:numPr>
          <w:ilvl w:val="0"/>
          <w:numId w:val="1009"/>
        </w:numPr>
      </w:pPr>
      <w:r>
        <w:rPr>
          <w:b/>
          <w:bCs/>
        </w:rPr>
        <w:t xml:space="preserve">Full-year guidance confidence</w:t>
      </w:r>
    </w:p>
    <w:p>
      <w:pPr>
        <w:pStyle w:val="Compact"/>
        <w:numPr>
          <w:ilvl w:val="0"/>
          <w:numId w:val="1009"/>
        </w:numPr>
      </w:pPr>
      <w:r>
        <w:rPr>
          <w:b/>
          <w:bCs/>
        </w:rPr>
        <w:t xml:space="preserve">Underlying margin progression</w:t>
      </w:r>
    </w:p>
    <w:p>
      <w:pPr>
        <w:pStyle w:val="Compact"/>
        <w:numPr>
          <w:ilvl w:val="0"/>
          <w:numId w:val="1009"/>
        </w:numPr>
      </w:pPr>
      <w:r>
        <w:rPr>
          <w:b/>
          <w:bCs/>
        </w:rPr>
        <w:t xml:space="preserve">Newfront integration and commercial traction</w:t>
      </w:r>
    </w:p>
    <w:p>
      <w:pPr>
        <w:pStyle w:val="Compact"/>
        <w:numPr>
          <w:ilvl w:val="0"/>
          <w:numId w:val="1009"/>
        </w:numPr>
      </w:pPr>
      <w:r>
        <w:rPr>
          <w:b/>
          <w:bCs/>
        </w:rPr>
        <w:t xml:space="preserve">Cash conversion and capital return</w:t>
      </w:r>
    </w:p>
    <w:p>
      <w:pPr>
        <w:pStyle w:val="FirstParagraph"/>
      </w:pPr>
      <w:r>
        <w:rPr>
          <w:i/>
          <w:iCs/>
        </w:rPr>
        <w:t xml:space="preserve">Sources: WTW Q1 2026 earnings release, supplemental materials, Q1 2026 Form 10-Q, Q1 2026 earnings-call transcript, Q2 2025 earnings release, and historical WTW price data through July 29, 2026.</w:t>
      </w:r>
    </w:p>
    <w:bookmarkEnd w:id="20"/>
    <w:bookmarkEnd w:id="21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2026-07-29T18:19:43Z</dcterms:created>
  <dcterms:modified xsi:type="dcterms:W3CDTF">2026-07-29T18:19:43Z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