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tw-earnings-predictions--2026-07-30"/>
    <w:p>
      <w:pPr>
        <w:pStyle w:val="Heading1"/>
      </w:pPr>
      <w:r>
        <w:t xml:space="preserve">WTW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R&amp;B Organic Growth (Q2 2026)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~4.5% vs. cons 3.8% (VA, Jul 29)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Organic Revenue Growth (Q2 2026)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~4.2% vs. cons 3.7% (VA, Jul 29)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~$3.25 vs. cons $3.11 (VA, Jul 29)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R&amp;B Organic Growth (FY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maintained mid-single digits (~5% midpoint) vs. cons 3.63% (VA, Jul 29)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Enterprise Organic Growth (FY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maintained mid-single digits (~5% midpoint) vs. cons 4.04% (VA, Jul 29)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EPS (FY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maintained; FX tailwind intact; implied ~$19.75-20.00 vs. cons $19.54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-4.0%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-6.0% (FADE)</w:t>
            </w:r>
          </w:p>
        </w:tc>
        <w:tc>
          <w:tcPr/>
          <w:p>
            <w:pPr>
              <w:pStyle w:val="Compact"/>
            </w:pPr>
            <w:r>
              <w:t xml:space="preserve">FADE - estimates unlikely to move materially higher on a maintained guide; pre-run premium compresses over 5 days as sell-side models stay flat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2026-08-01T02:02:16Z</dcterms:created>
  <dcterms:modified xsi:type="dcterms:W3CDTF">2026-08-01T02:02:16Z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