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Bdr>
          <w:bottom w:val="single" w:sz="4" w:space="1" w:color="FB9120"/>
        </w:pBdr>
      </w:pPr>
      <w:r>
        <w:rPr>
          <w:rFonts w:ascii="Calibri" w:hAnsi="Calibri"/>
          <w:b/>
          <w:color w:val="3B4259"/>
          <w:sz w:val="40"/>
        </w:rPr>
        <w:t>WTW — Q2 2026 Earnings Preview</w:t>
      </w:r>
    </w:p>
    <w:tbl>
      <w:tblPr>
        <w:tblStyle w:val="TableGrid"/>
        <w:tblW w:type="auto" w:w="0"/>
        <w:tblLook w:firstColumn="1" w:firstRow="1" w:lastColumn="0" w:lastRow="0" w:noHBand="0" w:noVBand="1" w:val="04A0"/>
      </w:tblPr>
      <w:tblGrid>
        <w:gridCol w:w="4320"/>
        <w:gridCol w:w="4320"/>
      </w:tblGrid>
      <w:tr>
        <w:tc>
          <w:tcPr>
            <w:tcW w:type="dxa" w:w="4320"/>
          </w:tcPr>
          <w:p>
            <w:r>
              <w:rPr>
                <w:rFonts w:ascii="Calibri" w:hAnsi="Calibri"/>
                <w:b/>
                <w:sz w:val="22"/>
              </w:rPr>
              <w:t>Company</w:t>
            </w:r>
          </w:p>
        </w:tc>
        <w:tc>
          <w:tcPr>
            <w:tcW w:type="dxa" w:w="4320"/>
          </w:tcPr>
          <w:p>
            <w:r>
              <w:rPr>
                <w:rFonts w:ascii="Calibri" w:hAnsi="Calibri"/>
                <w:sz w:val="22"/>
              </w:rPr>
              <w:t>Willis Towers Watson Public Limited Company</w:t>
            </w:r>
          </w:p>
        </w:tc>
      </w:tr>
      <w:tr>
        <w:tc>
          <w:tcPr>
            <w:tcW w:type="dxa" w:w="4320"/>
          </w:tcPr>
          <w:p>
            <w:r>
              <w:rPr>
                <w:rFonts w:ascii="Calibri" w:hAnsi="Calibri"/>
                <w:b/>
                <w:sz w:val="22"/>
              </w:rPr>
              <w:t>Ticker</w:t>
            </w:r>
          </w:p>
        </w:tc>
        <w:tc>
          <w:tcPr>
            <w:tcW w:type="dxa" w:w="4320"/>
          </w:tcPr>
          <w:p>
            <w:r>
              <w:rPr>
                <w:rFonts w:ascii="Calibri" w:hAnsi="Calibri"/>
                <w:sz w:val="22"/>
              </w:rPr>
              <w:t>WTW (NASDAQ)</w:t>
            </w:r>
          </w:p>
        </w:tc>
      </w:tr>
      <w:tr>
        <w:tc>
          <w:tcPr>
            <w:tcW w:type="dxa" w:w="4320"/>
          </w:tcPr>
          <w:p>
            <w:r>
              <w:rPr>
                <w:rFonts w:ascii="Calibri" w:hAnsi="Calibri"/>
                <w:b/>
                <w:sz w:val="22"/>
              </w:rPr>
              <w:t>Upcoming Earnings Date</w:t>
            </w:r>
          </w:p>
        </w:tc>
        <w:tc>
          <w:tcPr>
            <w:tcW w:type="dxa" w:w="4320"/>
          </w:tcPr>
          <w:p>
            <w:r>
              <w:rPr>
                <w:rFonts w:ascii="Calibri" w:hAnsi="Calibri"/>
                <w:sz w:val="22"/>
              </w:rPr>
              <w:t>July 30, 2026 (Before Market Open)</w:t>
            </w:r>
          </w:p>
        </w:tc>
      </w:tr>
      <w:tr>
        <w:tc>
          <w:tcPr>
            <w:tcW w:type="dxa" w:w="4320"/>
          </w:tcPr>
          <w:p>
            <w:r>
              <w:rPr>
                <w:rFonts w:ascii="Calibri" w:hAnsi="Calibri"/>
                <w:b/>
                <w:sz w:val="22"/>
              </w:rPr>
              <w:t>Reporting Period</w:t>
            </w:r>
          </w:p>
        </w:tc>
        <w:tc>
          <w:tcPr>
            <w:tcW w:type="dxa" w:w="4320"/>
          </w:tcPr>
          <w:p>
            <w:r>
              <w:rPr>
                <w:rFonts w:ascii="Calibri" w:hAnsi="Calibri"/>
                <w:sz w:val="22"/>
              </w:rPr>
              <w:t>Q2 2026 (quarter ended June 30, 2026)</w:t>
            </w:r>
          </w:p>
        </w:tc>
      </w:tr>
      <w:tr>
        <w:tc>
          <w:tcPr>
            <w:tcW w:type="dxa" w:w="4320"/>
          </w:tcPr>
          <w:p>
            <w:r>
              <w:rPr>
                <w:rFonts w:ascii="Calibri" w:hAnsi="Calibri"/>
                <w:b/>
                <w:sz w:val="22"/>
              </w:rPr>
              <w:t>Prepared Date</w:t>
            </w:r>
          </w:p>
        </w:tc>
        <w:tc>
          <w:tcPr>
            <w:tcW w:type="dxa" w:w="4320"/>
          </w:tcPr>
          <w:p>
            <w:r>
              <w:rPr>
                <w:rFonts w:ascii="Calibri" w:hAnsi="Calibri"/>
                <w:sz w:val="22"/>
              </w:rPr>
              <w:t>July 29, 2026</w:t>
            </w:r>
          </w:p>
        </w:tc>
      </w:tr>
    </w:tbl>
    <w:p>
      <w:r>
        <w:br w:type="page"/>
      </w:r>
    </w:p>
    <w:p>
      <w:pPr>
        <w:pStyle w:val="Heading2"/>
      </w:pPr>
      <w:r>
        <w:rPr>
          <w:rFonts w:ascii="Calibri" w:hAnsi="Calibri"/>
          <w:b/>
          <w:color w:val="3B4259"/>
          <w:sz w:val="28"/>
        </w:rPr>
        <w:t>1. Earnings Preview</w:t>
      </w:r>
    </w:p>
    <w:p>
      <w:r>
        <w:rPr>
          <w:rFonts w:ascii="Calibri" w:hAnsi="Calibri"/>
          <w:b/>
          <w:color w:val="525866"/>
          <w:sz w:val="22"/>
        </w:rPr>
        <w:t xml:space="preserve">Key Takeaway: </w:t>
      </w:r>
      <w:r>
        <w:rPr>
          <w:rFonts w:ascii="Calibri" w:hAnsi="Calibri"/>
          <w:color w:val="525866"/>
          <w:sz w:val="22"/>
        </w:rPr>
        <w:t xml:space="preserve">The setup is mixed-to-cautiously-constructive — consensus has been revised down since the Q1 miss, setting a lower bar, but the key swing factor is whether </w:t>
      </w:r>
      <w:r>
        <w:rPr>
          <w:rFonts w:ascii="Calibri" w:hAnsi="Calibri"/>
          <w:b/>
          <w:color w:val="525866"/>
          <w:sz w:val="22"/>
        </w:rPr>
        <w:t>CRB organic growth has genuinely re-accelerated to mid-single digits in Q2</w:t>
      </w:r>
      <w:r>
        <w:rPr>
          <w:rFonts w:ascii="Calibri" w:hAnsi="Calibri"/>
          <w:color w:val="525866"/>
          <w:sz w:val="22"/>
        </w:rPr>
        <w:t xml:space="preserve"> as management guided on the April call, or whether new business timing and pricing headwinds persist.</w:t>
      </w:r>
    </w:p>
    <w:p>
      <w:r>
        <w:rPr>
          <w:rFonts w:ascii="Calibri" w:hAnsi="Calibri"/>
          <w:color w:val="525866"/>
          <w:sz w:val="22"/>
        </w:rPr>
        <w:t xml:space="preserve">Heading into Q2 2026, WTW faces a reset bar after a sharply negative Q1 print that sent the stock down roughly 12% on earnings day. Consensus organic revenue growth for Q2 sits at approximately 3.7% (vs. 5% in Q2 2025), and adjusted EPS consensus is ~$3.11 — a meaningful step-down from the $2.86 reported a year ago that reflects both the lower growth trajectory and a tougher HWC comparable. Management's posture on the April call was cautiously stabilizing: Lucy Clarke (President of R&amp;B) explicitly flagged that April CRB growth had returned to </w:t>
      </w:r>
      <w:r>
        <w:rPr>
          <w:rFonts w:ascii="Calibri" w:hAnsi="Calibri"/>
          <w:b/>
          <w:color w:val="525866"/>
          <w:sz w:val="22"/>
        </w:rPr>
        <w:t>"mid-single digit or better,"</w:t>
      </w:r>
      <w:r>
        <w:rPr>
          <w:rFonts w:ascii="Calibri" w:hAnsi="Calibri"/>
          <w:color w:val="525866"/>
          <w:sz w:val="22"/>
        </w:rPr>
        <w:t xml:space="preserve"> providing the most direct forward signal, while full-year R&amp;B guidance was narrowed to mid-single digits from the prior mid-to-high single-digit framing. Estimate revisions since Q1 have been modestly negative — the 2026FY EPS consensus has drifted slightly lower post-print — suggesting the Street has not yet fully bought the recovery narrative. The stock has recovered sharply from its post-Q1 lows, up ~23% since April 30, meaning a meaningful beat is likely already partially priced in and the risk/reward is more balanced than the absolute discount to peers implies. The key wildcard is the </w:t>
      </w:r>
    </w:p>
    <w:p>
      <w:r>
        <w:rPr>
          <w:rFonts w:ascii="Calibri" w:hAnsi="Calibri"/>
          <w:b/>
          <w:color w:val="525866"/>
          <w:sz w:val="22"/>
        </w:rPr>
        <w:t>Middle East geopolitical situation</w:t>
      </w:r>
      <w:r>
        <w:rPr>
          <w:rFonts w:ascii="Calibri" w:hAnsi="Calibri"/>
          <w:color w:val="525866"/>
          <w:sz w:val="22"/>
        </w:rPr>
        <w:t>: Career and some international broking activity were explicitly disrupted in Q1, and any further deterioration — or conversely, a normalization — could swing HWC organic growth by 1–2 points and determine whether WTW meets or beats the mid-single-digit full-year target.</w:t>
      </w:r>
    </w:p>
    <w:p>
      <w:r>
        <w:br w:type="page"/>
      </w:r>
    </w:p>
    <w:p>
      <w:pPr>
        <w:pStyle w:val="Heading2"/>
      </w:pPr>
      <w:r>
        <w:rPr>
          <w:rFonts w:ascii="Calibri" w:hAnsi="Calibri"/>
          <w:b/>
          <w:color w:val="3B4259"/>
          <w:sz w:val="28"/>
        </w:rPr>
        <w:t>2. KPIs &amp; Consensus Expectations</w:t>
      </w:r>
    </w:p>
    <w:p>
      <w:r>
        <w:rPr>
          <w:rFonts w:ascii="Calibri" w:hAnsi="Calibri"/>
          <w:b/>
          <w:color w:val="525866"/>
          <w:sz w:val="22"/>
        </w:rPr>
        <w:t xml:space="preserve">Key Takeaway: </w:t>
      </w:r>
      <w:r>
        <w:rPr>
          <w:rFonts w:ascii="Calibri" w:hAnsi="Calibri"/>
          <w:color w:val="525866"/>
          <w:sz w:val="22"/>
        </w:rPr>
        <w:t xml:space="preserve">Consensus sets a low bar on organic revenue growth (~3.7% vs. 5% a year ago) but a modestly higher bar on EPS given FX tailwinds; </w:t>
      </w:r>
    </w:p>
    <w:p>
      <w:r>
        <w:rPr>
          <w:rFonts w:ascii="Calibri" w:hAnsi="Calibri"/>
          <w:b/>
          <w:color w:val="525866"/>
          <w:sz w:val="22"/>
        </w:rPr>
        <w:t>CRB organic growth is the bigger swing factor</w:t>
      </w:r>
      <w:r>
        <w:rPr>
          <w:rFonts w:ascii="Calibri" w:hAnsi="Calibri"/>
          <w:color w:val="525866"/>
          <w:sz w:val="22"/>
        </w:rPr>
        <w:t xml:space="preserve"> — any re-acceleration toward 4–5% would be a positive surprise, while a second consecutive miss would be severely punished given the stock's recovery.</w:t>
      </w:r>
    </w:p>
    <w:p>
      <w:pPr>
        <w:pStyle w:val="Heading3"/>
      </w:pPr>
      <w:r>
        <w:rPr>
          <w:rFonts w:ascii="Calibri" w:hAnsi="Calibri"/>
          <w:b/>
          <w:color w:val="3B4259"/>
          <w:sz w:val="24"/>
        </w:rPr>
        <w:t>Table 1 — Current Quarter Snapshot (Q2 2026)</w:t>
      </w:r>
    </w:p>
    <w:tbl>
      <w:tblPr>
        <w:tblStyle w:val="TableGrid"/>
        <w:tblW w:type="auto" w:w="0"/>
        <w:tblLook w:firstColumn="1" w:firstRow="1" w:lastColumn="0" w:lastRow="0" w:noHBand="0" w:noVBand="1" w:val="04A0"/>
      </w:tblPr>
      <w:tblGrid>
        <w:gridCol w:w="1234"/>
        <w:gridCol w:w="1234"/>
        <w:gridCol w:w="1234"/>
        <w:gridCol w:w="1234"/>
        <w:gridCol w:w="1234"/>
        <w:gridCol w:w="1234"/>
        <w:gridCol w:w="1234"/>
      </w:tblGrid>
      <w:tr>
        <w:tc>
          <w:tcPr>
            <w:tcW w:type="dxa" w:w="1234"/>
            <w:shd w:val="clear" w:color="auto" w:fill="3B4259"/>
          </w:tcPr>
          <w:p>
            <w:r>
              <w:rPr>
                <w:rFonts w:ascii="Calibri" w:hAnsi="Calibri"/>
                <w:b/>
                <w:color w:val="FFFFFF"/>
                <w:sz w:val="22"/>
              </w:rPr>
              <w:t>KPI</w:t>
            </w:r>
          </w:p>
        </w:tc>
        <w:tc>
          <w:tcPr>
            <w:tcW w:type="dxa" w:w="1234"/>
            <w:shd w:val="clear" w:color="auto" w:fill="3B4259"/>
          </w:tcPr>
          <w:p>
            <w:r>
              <w:rPr>
                <w:rFonts w:ascii="Calibri" w:hAnsi="Calibri"/>
                <w:b/>
                <w:color w:val="FFFFFF"/>
                <w:sz w:val="22"/>
              </w:rPr>
              <w:t>Q1 2026 Actual</w:t>
            </w:r>
          </w:p>
        </w:tc>
        <w:tc>
          <w:tcPr>
            <w:tcW w:type="dxa" w:w="1234"/>
            <w:shd w:val="clear" w:color="auto" w:fill="3B4259"/>
          </w:tcPr>
          <w:p>
            <w:r>
              <w:rPr>
                <w:rFonts w:ascii="Calibri" w:hAnsi="Calibri"/>
                <w:b/>
                <w:color w:val="FFFFFF"/>
                <w:sz w:val="22"/>
              </w:rPr>
              <w:t>Q2 2025 Actual (Prior Year)</w:t>
            </w:r>
          </w:p>
        </w:tc>
        <w:tc>
          <w:tcPr>
            <w:tcW w:type="dxa" w:w="1234"/>
            <w:shd w:val="clear" w:color="auto" w:fill="3B4259"/>
          </w:tcPr>
          <w:p>
            <w:r>
              <w:rPr>
                <w:rFonts w:ascii="Calibri" w:hAnsi="Calibri"/>
                <w:b/>
                <w:color w:val="FFFFFF"/>
                <w:sz w:val="22"/>
              </w:rPr>
              <w:t>Q2 2026 Consensus Estimate</w:t>
            </w:r>
          </w:p>
        </w:tc>
        <w:tc>
          <w:tcPr>
            <w:tcW w:type="dxa" w:w="1234"/>
            <w:shd w:val="clear" w:color="auto" w:fill="3B4259"/>
          </w:tcPr>
          <w:p>
            <w:r>
              <w:rPr>
                <w:rFonts w:ascii="Calibri" w:hAnsi="Calibri"/>
                <w:b/>
                <w:color w:val="FFFFFF"/>
                <w:sz w:val="22"/>
              </w:rPr>
              <w:t>YoY Change</w:t>
            </w:r>
          </w:p>
        </w:tc>
        <w:tc>
          <w:tcPr>
            <w:tcW w:type="dxa" w:w="1234"/>
            <w:shd w:val="clear" w:color="auto" w:fill="3B4259"/>
          </w:tcPr>
          <w:p>
            <w:r>
              <w:rPr>
                <w:rFonts w:ascii="Calibri" w:hAnsi="Calibri"/>
                <w:b/>
                <w:color w:val="FFFFFF"/>
                <w:sz w:val="22"/>
              </w:rPr>
              <w:t>FY 2026 Guidance</w:t>
            </w:r>
          </w:p>
        </w:tc>
        <w:tc>
          <w:tcPr>
            <w:tcW w:type="dxa" w:w="1234"/>
            <w:shd w:val="clear" w:color="auto" w:fill="3B4259"/>
          </w:tcPr>
          <w:p>
            <w:r>
              <w:rPr>
                <w:rFonts w:ascii="Calibri" w:hAnsi="Calibri"/>
                <w:b/>
                <w:color w:val="FFFFFF"/>
                <w:sz w:val="22"/>
              </w:rPr>
              <w:t>Consensus vs. Guidance</w:t>
            </w:r>
          </w:p>
        </w:tc>
      </w:tr>
      <w:tr>
        <w:tc>
          <w:tcPr>
            <w:tcW w:type="dxa" w:w="1234"/>
          </w:tcPr>
          <w:p>
            <w:r>
              <w:rPr>
                <w:rFonts w:ascii="Calibri" w:hAnsi="Calibri"/>
                <w:sz w:val="22"/>
              </w:rPr>
              <w:t>Total Revenue ($B)</w:t>
            </w:r>
          </w:p>
        </w:tc>
        <w:tc>
          <w:tcPr>
            <w:tcW w:type="dxa" w:w="1234"/>
          </w:tcPr>
          <w:p>
            <w:r>
              <w:rPr>
                <w:rFonts w:ascii="Calibri" w:hAnsi="Calibri"/>
                <w:sz w:val="22"/>
              </w:rPr>
              <w:t>$2.412B</w:t>
            </w:r>
          </w:p>
        </w:tc>
        <w:tc>
          <w:tcPr>
            <w:tcW w:type="dxa" w:w="1234"/>
          </w:tcPr>
          <w:p>
            <w:r>
              <w:rPr>
                <w:rFonts w:ascii="Calibri" w:hAnsi="Calibri"/>
                <w:sz w:val="22"/>
              </w:rPr>
              <w:t>$2.261B</w:t>
            </w:r>
          </w:p>
        </w:tc>
        <w:tc>
          <w:tcPr>
            <w:tcW w:type="dxa" w:w="1234"/>
          </w:tcPr>
          <w:p>
            <w:r>
              <w:rPr>
                <w:rFonts w:ascii="Calibri" w:hAnsi="Calibri"/>
                <w:sz w:val="22"/>
              </w:rPr>
              <w:t>$2.424B</w:t>
            </w:r>
          </w:p>
        </w:tc>
        <w:tc>
          <w:tcPr>
            <w:tcW w:type="dxa" w:w="1234"/>
          </w:tcPr>
          <w:p>
            <w:r>
              <w:rPr>
                <w:rFonts w:ascii="Calibri" w:hAnsi="Calibri"/>
                <w:sz w:val="22"/>
              </w:rPr>
              <w:t>+7.2% YoY</w:t>
            </w:r>
          </w:p>
        </w:tc>
        <w:tc>
          <w:tcPr>
            <w:tcW w:type="dxa" w:w="1234"/>
          </w:tcPr>
          <w:p>
            <w:r>
              <w:rPr>
                <w:rFonts w:ascii="Calibri" w:hAnsi="Calibri"/>
                <w:sz w:val="22"/>
              </w:rPr>
              <w:t>Mid-single-digit organic growth</w:t>
            </w:r>
          </w:p>
        </w:tc>
        <w:tc>
          <w:tcPr>
            <w:tcW w:type="dxa" w:w="1234"/>
          </w:tcPr>
          <w:p>
            <w:r>
              <w:rPr>
                <w:rFonts w:ascii="Calibri" w:hAnsi="Calibri"/>
                <w:sz w:val="22"/>
              </w:rPr>
              <w:t>In line with guidance</w:t>
            </w:r>
          </w:p>
        </w:tc>
      </w:tr>
      <w:tr>
        <w:tc>
          <w:tcPr>
            <w:tcW w:type="dxa" w:w="1234"/>
          </w:tcPr>
          <w:p>
            <w:r>
              <w:rPr>
                <w:rFonts w:ascii="Calibri" w:hAnsi="Calibri"/>
                <w:sz w:val="22"/>
              </w:rPr>
              <w:t>Organic Revenue Growth (%)</w:t>
            </w:r>
          </w:p>
        </w:tc>
        <w:tc>
          <w:tcPr>
            <w:tcW w:type="dxa" w:w="1234"/>
          </w:tcPr>
          <w:p>
            <w:r>
              <w:rPr>
                <w:rFonts w:ascii="Calibri" w:hAnsi="Calibri"/>
                <w:sz w:val="22"/>
              </w:rPr>
              <w:t>3.0%</w:t>
            </w:r>
          </w:p>
        </w:tc>
        <w:tc>
          <w:tcPr>
            <w:tcW w:type="dxa" w:w="1234"/>
          </w:tcPr>
          <w:p>
            <w:r>
              <w:rPr>
                <w:rFonts w:ascii="Calibri" w:hAnsi="Calibri"/>
                <w:sz w:val="22"/>
              </w:rPr>
              <w:t>5.0%</w:t>
            </w:r>
          </w:p>
        </w:tc>
        <w:tc>
          <w:tcPr>
            <w:tcW w:type="dxa" w:w="1234"/>
          </w:tcPr>
          <w:p>
            <w:r>
              <w:rPr>
                <w:rFonts w:ascii="Calibri" w:hAnsi="Calibri"/>
                <w:sz w:val="22"/>
              </w:rPr>
              <w:t>~3.7%</w:t>
            </w:r>
          </w:p>
        </w:tc>
        <w:tc>
          <w:tcPr>
            <w:tcW w:type="dxa" w:w="1234"/>
          </w:tcPr>
          <w:p>
            <w:r>
              <w:rPr>
                <w:rFonts w:ascii="Calibri" w:hAnsi="Calibri"/>
                <w:sz w:val="22"/>
              </w:rPr>
              <w:t>-130 bps YoY</w:t>
            </w:r>
          </w:p>
        </w:tc>
        <w:tc>
          <w:tcPr>
            <w:tcW w:type="dxa" w:w="1234"/>
          </w:tcPr>
          <w:p>
            <w:r>
              <w:rPr>
                <w:rFonts w:ascii="Calibri" w:hAnsi="Calibri"/>
                <w:sz w:val="22"/>
              </w:rPr>
              <w:t>Mid-single digits (FY)</w:t>
            </w:r>
          </w:p>
        </w:tc>
        <w:tc>
          <w:tcPr>
            <w:tcW w:type="dxa" w:w="1234"/>
          </w:tcPr>
          <w:p>
            <w:r>
              <w:rPr>
                <w:rFonts w:ascii="Calibri" w:hAnsi="Calibri"/>
                <w:sz w:val="22"/>
              </w:rPr>
              <w:t>Slightly below mid-point</w:t>
            </w:r>
          </w:p>
        </w:tc>
      </w:tr>
      <w:tr>
        <w:tc>
          <w:tcPr>
            <w:tcW w:type="dxa" w:w="1234"/>
          </w:tcPr>
          <w:p>
            <w:r>
              <w:rPr>
                <w:rFonts w:ascii="Calibri" w:hAnsi="Calibri"/>
                <w:sz w:val="22"/>
              </w:rPr>
              <w:t>R&amp;B Organic Growth (%)</w:t>
            </w:r>
          </w:p>
        </w:tc>
        <w:tc>
          <w:tcPr>
            <w:tcW w:type="dxa" w:w="1234"/>
          </w:tcPr>
          <w:p>
            <w:r>
              <w:rPr>
                <w:rFonts w:ascii="Calibri" w:hAnsi="Calibri"/>
                <w:sz w:val="22"/>
              </w:rPr>
              <w:t>2.0%</w:t>
            </w:r>
          </w:p>
        </w:tc>
        <w:tc>
          <w:tcPr>
            <w:tcW w:type="dxa" w:w="1234"/>
          </w:tcPr>
          <w:p>
            <w:r>
              <w:rPr>
                <w:rFonts w:ascii="Calibri" w:hAnsi="Calibri"/>
                <w:sz w:val="22"/>
              </w:rPr>
              <w:t>6.0%</w:t>
            </w:r>
          </w:p>
        </w:tc>
        <w:tc>
          <w:tcPr>
            <w:tcW w:type="dxa" w:w="1234"/>
          </w:tcPr>
          <w:p>
            <w:r>
              <w:rPr>
                <w:rFonts w:ascii="Calibri" w:hAnsi="Calibri"/>
                <w:sz w:val="22"/>
              </w:rPr>
              <w:t>~3.8%</w:t>
            </w:r>
          </w:p>
        </w:tc>
        <w:tc>
          <w:tcPr>
            <w:tcW w:type="dxa" w:w="1234"/>
          </w:tcPr>
          <w:p>
            <w:r>
              <w:rPr>
                <w:rFonts w:ascii="Calibri" w:hAnsi="Calibri"/>
                <w:sz w:val="22"/>
              </w:rPr>
              <w:t>-220 bps YoY</w:t>
            </w:r>
          </w:p>
        </w:tc>
        <w:tc>
          <w:tcPr>
            <w:tcW w:type="dxa" w:w="1234"/>
          </w:tcPr>
          <w:p>
            <w:r>
              <w:rPr>
                <w:rFonts w:ascii="Calibri" w:hAnsi="Calibri"/>
                <w:sz w:val="22"/>
              </w:rPr>
              <w:t>Mid-single digits (FY)</w:t>
            </w:r>
          </w:p>
        </w:tc>
        <w:tc>
          <w:tcPr>
            <w:tcW w:type="dxa" w:w="1234"/>
          </w:tcPr>
          <w:p>
            <w:r>
              <w:rPr>
                <w:rFonts w:ascii="Calibri" w:hAnsi="Calibri"/>
                <w:sz w:val="22"/>
              </w:rPr>
              <w:t>At low end of mid-single digits</w:t>
            </w:r>
          </w:p>
        </w:tc>
      </w:tr>
      <w:tr>
        <w:tc>
          <w:tcPr>
            <w:tcW w:type="dxa" w:w="1234"/>
          </w:tcPr>
          <w:p>
            <w:r>
              <w:rPr>
                <w:rFonts w:ascii="Calibri" w:hAnsi="Calibri"/>
                <w:sz w:val="22"/>
              </w:rPr>
              <w:t>HWC Organic Growth (%)</w:t>
            </w:r>
          </w:p>
        </w:tc>
        <w:tc>
          <w:tcPr>
            <w:tcW w:type="dxa" w:w="1234"/>
          </w:tcPr>
          <w:p>
            <w:r>
              <w:rPr>
                <w:rFonts w:ascii="Calibri" w:hAnsi="Calibri"/>
                <w:sz w:val="22"/>
              </w:rPr>
              <w:t>3.0%</w:t>
            </w:r>
          </w:p>
        </w:tc>
        <w:tc>
          <w:tcPr>
            <w:tcW w:type="dxa" w:w="1234"/>
          </w:tcPr>
          <w:p>
            <w:r>
              <w:rPr>
                <w:rFonts w:ascii="Calibri" w:hAnsi="Calibri"/>
                <w:sz w:val="22"/>
              </w:rPr>
              <w:t>4.0%</w:t>
            </w:r>
          </w:p>
        </w:tc>
        <w:tc>
          <w:tcPr>
            <w:tcW w:type="dxa" w:w="1234"/>
          </w:tcPr>
          <w:p>
            <w:r>
              <w:rPr>
                <w:rFonts w:ascii="Calibri" w:hAnsi="Calibri"/>
                <w:sz w:val="22"/>
              </w:rPr>
              <w:t>~3.5%</w:t>
            </w:r>
          </w:p>
        </w:tc>
        <w:tc>
          <w:tcPr>
            <w:tcW w:type="dxa" w:w="1234"/>
          </w:tcPr>
          <w:p>
            <w:r>
              <w:rPr>
                <w:rFonts w:ascii="Calibri" w:hAnsi="Calibri"/>
                <w:sz w:val="22"/>
              </w:rPr>
              <w:t>-50 bps YoY</w:t>
            </w:r>
          </w:p>
        </w:tc>
        <w:tc>
          <w:tcPr>
            <w:tcW w:type="dxa" w:w="1234"/>
          </w:tcPr>
          <w:p>
            <w:r>
              <w:rPr>
                <w:rFonts w:ascii="Calibri" w:hAnsi="Calibri"/>
                <w:sz w:val="22"/>
              </w:rPr>
              <w:t>Mid-single digits (FY)</w:t>
            </w:r>
          </w:p>
        </w:tc>
        <w:tc>
          <w:tcPr>
            <w:tcW w:type="dxa" w:w="1234"/>
          </w:tcPr>
          <w:p>
            <w:r>
              <w:rPr>
                <w:rFonts w:ascii="Calibri" w:hAnsi="Calibri"/>
                <w:sz w:val="22"/>
              </w:rPr>
              <w:t>Slightly below mid-point</w:t>
            </w:r>
          </w:p>
        </w:tc>
      </w:tr>
      <w:tr>
        <w:tc>
          <w:tcPr>
            <w:tcW w:type="dxa" w:w="1234"/>
          </w:tcPr>
          <w:p>
            <w:r>
              <w:rPr>
                <w:rFonts w:ascii="Calibri" w:hAnsi="Calibri"/>
                <w:sz w:val="22"/>
              </w:rPr>
              <w:t>Adj. Diluted EPS ($)</w:t>
            </w:r>
          </w:p>
        </w:tc>
        <w:tc>
          <w:tcPr>
            <w:tcW w:type="dxa" w:w="1234"/>
          </w:tcPr>
          <w:p>
            <w:r>
              <w:rPr>
                <w:rFonts w:ascii="Calibri" w:hAnsi="Calibri"/>
                <w:sz w:val="22"/>
              </w:rPr>
              <w:t>$3.72</w:t>
            </w:r>
          </w:p>
        </w:tc>
        <w:tc>
          <w:tcPr>
            <w:tcW w:type="dxa" w:w="1234"/>
          </w:tcPr>
          <w:p>
            <w:r>
              <w:rPr>
                <w:rFonts w:ascii="Calibri" w:hAnsi="Calibri"/>
                <w:sz w:val="22"/>
              </w:rPr>
              <w:t>$2.86</w:t>
            </w:r>
          </w:p>
        </w:tc>
        <w:tc>
          <w:tcPr>
            <w:tcW w:type="dxa" w:w="1234"/>
          </w:tcPr>
          <w:p>
            <w:r>
              <w:rPr>
                <w:rFonts w:ascii="Calibri" w:hAnsi="Calibri"/>
                <w:sz w:val="22"/>
              </w:rPr>
              <w:t>~$3.11</w:t>
            </w:r>
          </w:p>
        </w:tc>
        <w:tc>
          <w:tcPr>
            <w:tcW w:type="dxa" w:w="1234"/>
          </w:tcPr>
          <w:p>
            <w:r>
              <w:rPr>
                <w:rFonts w:ascii="Calibri" w:hAnsi="Calibri"/>
                <w:sz w:val="22"/>
              </w:rPr>
              <w:t>+8.7% YoY</w:t>
            </w:r>
          </w:p>
        </w:tc>
        <w:tc>
          <w:tcPr>
            <w:tcW w:type="dxa" w:w="1234"/>
          </w:tcPr>
          <w:p>
            <w:r>
              <w:rPr>
                <w:rFonts w:ascii="Calibri" w:hAnsi="Calibri"/>
                <w:sz w:val="22"/>
              </w:rPr>
              <w:t>FY ~$19.54 consensus</w:t>
            </w:r>
          </w:p>
        </w:tc>
        <w:tc>
          <w:tcPr>
            <w:tcW w:type="dxa" w:w="1234"/>
          </w:tcPr>
          <w:p>
            <w:r>
              <w:rPr>
                <w:rFonts w:ascii="Calibri" w:hAnsi="Calibri"/>
                <w:sz w:val="22"/>
              </w:rPr>
              <w:t>N/A — no quarterly EPS guidance</w:t>
            </w:r>
          </w:p>
        </w:tc>
      </w:tr>
      <w:tr>
        <w:tc>
          <w:tcPr>
            <w:tcW w:type="dxa" w:w="1234"/>
          </w:tcPr>
          <w:p>
            <w:r>
              <w:rPr>
                <w:rFonts w:ascii="Calibri" w:hAnsi="Calibri"/>
                <w:sz w:val="22"/>
              </w:rPr>
              <w:t>Adj. Operating Income ($M)</w:t>
            </w:r>
          </w:p>
        </w:tc>
        <w:tc>
          <w:tcPr>
            <w:tcW w:type="dxa" w:w="1234"/>
          </w:tcPr>
          <w:p>
            <w:r>
              <w:rPr>
                <w:rFonts w:ascii="Calibri" w:hAnsi="Calibri"/>
                <w:sz w:val="22"/>
              </w:rPr>
              <w:t>$537M</w:t>
            </w:r>
          </w:p>
        </w:tc>
        <w:tc>
          <w:tcPr>
            <w:tcW w:type="dxa" w:w="1234"/>
          </w:tcPr>
          <w:p>
            <w:r>
              <w:rPr>
                <w:rFonts w:ascii="Calibri" w:hAnsi="Calibri"/>
                <w:sz w:val="22"/>
              </w:rPr>
              <w:t>$419M</w:t>
            </w:r>
          </w:p>
        </w:tc>
        <w:tc>
          <w:tcPr>
            <w:tcW w:type="dxa" w:w="1234"/>
          </w:tcPr>
          <w:p>
            <w:r>
              <w:rPr>
                <w:rFonts w:ascii="Calibri" w:hAnsi="Calibri"/>
                <w:sz w:val="22"/>
              </w:rPr>
              <w:t>~$467M</w:t>
            </w:r>
          </w:p>
        </w:tc>
        <w:tc>
          <w:tcPr>
            <w:tcW w:type="dxa" w:w="1234"/>
          </w:tcPr>
          <w:p>
            <w:r>
              <w:rPr>
                <w:rFonts w:ascii="Calibri" w:hAnsi="Calibri"/>
                <w:sz w:val="22"/>
              </w:rPr>
              <w:t>+11.4% YoY</w:t>
            </w:r>
          </w:p>
        </w:tc>
        <w:tc>
          <w:tcPr>
            <w:tcW w:type="dxa" w:w="1234"/>
          </w:tcPr>
          <w:p>
            <w:r>
              <w:rPr>
                <w:rFonts w:ascii="Calibri" w:hAnsi="Calibri"/>
                <w:sz w:val="22"/>
              </w:rPr>
              <w:t>Continued margin expansion (FY)</w:t>
            </w:r>
          </w:p>
        </w:tc>
        <w:tc>
          <w:tcPr>
            <w:tcW w:type="dxa" w:w="1234"/>
          </w:tcPr>
          <w:p>
            <w:r>
              <w:rPr>
                <w:rFonts w:ascii="Calibri" w:hAnsi="Calibri"/>
                <w:sz w:val="22"/>
              </w:rPr>
              <w:t>In line with expansion commitment</w:t>
            </w:r>
          </w:p>
        </w:tc>
      </w:tr>
      <w:tr>
        <w:tc>
          <w:tcPr>
            <w:tcW w:type="dxa" w:w="1234"/>
          </w:tcPr>
          <w:p>
            <w:r>
              <w:rPr>
                <w:rFonts w:ascii="Calibri" w:hAnsi="Calibri"/>
                <w:sz w:val="22"/>
              </w:rPr>
              <w:t>Free Cash Flow ($M)</w:t>
            </w:r>
          </w:p>
        </w:tc>
        <w:tc>
          <w:tcPr>
            <w:tcW w:type="dxa" w:w="1234"/>
          </w:tcPr>
          <w:p>
            <w:r>
              <w:rPr>
                <w:rFonts w:ascii="Calibri" w:hAnsi="Calibri"/>
                <w:sz w:val="22"/>
              </w:rPr>
              <w:t>-$65M (Q1 seasonally weak)</w:t>
            </w:r>
          </w:p>
        </w:tc>
        <w:tc>
          <w:tcPr>
            <w:tcW w:type="dxa" w:w="1234"/>
          </w:tcPr>
          <w:p>
            <w:r>
              <w:rPr>
                <w:rFonts w:ascii="Calibri" w:hAnsi="Calibri"/>
                <w:sz w:val="22"/>
              </w:rPr>
              <w:t>$303M</w:t>
            </w:r>
          </w:p>
        </w:tc>
        <w:tc>
          <w:tcPr>
            <w:tcW w:type="dxa" w:w="1234"/>
          </w:tcPr>
          <w:p>
            <w:r>
              <w:rPr>
                <w:rFonts w:ascii="Calibri" w:hAnsi="Calibri"/>
                <w:sz w:val="22"/>
              </w:rPr>
              <w:t>~$292M</w:t>
            </w:r>
          </w:p>
        </w:tc>
        <w:tc>
          <w:tcPr>
            <w:tcW w:type="dxa" w:w="1234"/>
          </w:tcPr>
          <w:p>
            <w:r>
              <w:rPr>
                <w:rFonts w:ascii="Calibri" w:hAnsi="Calibri"/>
                <w:sz w:val="22"/>
              </w:rPr>
              <w:t>-3.6% YoY</w:t>
            </w:r>
          </w:p>
        </w:tc>
        <w:tc>
          <w:tcPr>
            <w:tcW w:type="dxa" w:w="1234"/>
          </w:tcPr>
          <w:p>
            <w:r>
              <w:rPr>
                <w:rFonts w:ascii="Calibri" w:hAnsi="Calibri"/>
                <w:sz w:val="22"/>
              </w:rPr>
              <w:t>FCF margin expansion (FY)</w:t>
            </w:r>
          </w:p>
        </w:tc>
        <w:tc>
          <w:tcPr>
            <w:tcW w:type="dxa" w:w="1234"/>
          </w:tcPr>
          <w:p>
            <w:r>
              <w:rPr>
                <w:rFonts w:ascii="Calibri" w:hAnsi="Calibri"/>
                <w:sz w:val="22"/>
              </w:rPr>
              <w:t>Slightly below prior year</w:t>
            </w:r>
          </w:p>
        </w:tc>
      </w:tr>
    </w:tbl>
    <w:p>
      <w:r>
        <w:rPr>
          <w:rFonts w:ascii="Calibri" w:hAnsi="Calibri"/>
          <w:i/>
          <w:color w:val="525866"/>
          <w:sz w:val="22"/>
        </w:rPr>
        <w:t>Source: Visible Alpha Consensus and Actuals Data. All consensus figures as of July 29, 2026.</w:t>
      </w:r>
    </w:p>
    <w:p>
      <w:pPr>
        <w:pStyle w:val="Heading3"/>
      </w:pPr>
      <w:r>
        <w:rPr>
          <w:rFonts w:ascii="Calibri" w:hAnsi="Calibri"/>
          <w:b/>
          <w:color w:val="3B4259"/>
          <w:sz w:val="24"/>
        </w:rPr>
        <w:t>Table 2 — Beat/Miss History (Last 8 Quarters)</w:t>
      </w:r>
    </w:p>
    <w:p>
      <w:r>
        <w:rPr>
          <w:rFonts w:ascii="Calibri" w:hAnsi="Calibri"/>
          <w:b/>
          <w:color w:val="525866"/>
          <w:sz w:val="22"/>
        </w:rPr>
        <w:t>Top KPI #1: Organic Revenue Growth (%) | Top KPI #2: Adjusted Diluted EPS ($)</w:t>
      </w:r>
    </w:p>
    <w:tbl>
      <w:tblPr>
        <w:tblStyle w:val="TableGrid"/>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shd w:val="clear" w:color="auto" w:fill="3B4259"/>
          </w:tcPr>
          <w:p>
            <w:r>
              <w:rPr>
                <w:rFonts w:ascii="Calibri" w:hAnsi="Calibri"/>
                <w:b/>
                <w:color w:val="FFFFFF"/>
                <w:sz w:val="22"/>
              </w:rPr>
              <w:t>Quarter</w:t>
            </w:r>
          </w:p>
        </w:tc>
        <w:tc>
          <w:tcPr>
            <w:tcW w:type="dxa" w:w="1080"/>
            <w:shd w:val="clear" w:color="auto" w:fill="3B4259"/>
          </w:tcPr>
          <w:p>
            <w:r>
              <w:rPr>
                <w:rFonts w:ascii="Calibri" w:hAnsi="Calibri"/>
                <w:b/>
                <w:color w:val="FFFFFF"/>
                <w:sz w:val="22"/>
              </w:rPr>
              <w:t>Organic Rev. Reported</w:t>
            </w:r>
          </w:p>
        </w:tc>
        <w:tc>
          <w:tcPr>
            <w:tcW w:type="dxa" w:w="1080"/>
            <w:shd w:val="clear" w:color="auto" w:fill="3B4259"/>
          </w:tcPr>
          <w:p>
            <w:r>
              <w:rPr>
                <w:rFonts w:ascii="Calibri" w:hAnsi="Calibri"/>
                <w:b/>
                <w:color w:val="FFFFFF"/>
                <w:sz w:val="22"/>
              </w:rPr>
              <w:t>Organic Rev. Consensus</w:t>
            </w:r>
          </w:p>
        </w:tc>
        <w:tc>
          <w:tcPr>
            <w:tcW w:type="dxa" w:w="1080"/>
            <w:shd w:val="clear" w:color="auto" w:fill="3B4259"/>
          </w:tcPr>
          <w:p>
            <w:r>
              <w:rPr>
                <w:rFonts w:ascii="Calibri" w:hAnsi="Calibri"/>
                <w:b/>
                <w:color w:val="FFFFFF"/>
                <w:sz w:val="22"/>
              </w:rPr>
              <w:t>Organic Rev. Surprise</w:t>
            </w:r>
          </w:p>
        </w:tc>
        <w:tc>
          <w:tcPr>
            <w:tcW w:type="dxa" w:w="1080"/>
            <w:shd w:val="clear" w:color="auto" w:fill="3B4259"/>
          </w:tcPr>
          <w:p>
            <w:r>
              <w:rPr>
                <w:rFonts w:ascii="Calibri" w:hAnsi="Calibri"/>
                <w:b/>
                <w:color w:val="FFFFFF"/>
                <w:sz w:val="22"/>
              </w:rPr>
              <w:t>Adj. EPS Reported</w:t>
            </w:r>
          </w:p>
        </w:tc>
        <w:tc>
          <w:tcPr>
            <w:tcW w:type="dxa" w:w="1080"/>
            <w:shd w:val="clear" w:color="auto" w:fill="3B4259"/>
          </w:tcPr>
          <w:p>
            <w:r>
              <w:rPr>
                <w:rFonts w:ascii="Calibri" w:hAnsi="Calibri"/>
                <w:b/>
                <w:color w:val="FFFFFF"/>
                <w:sz w:val="22"/>
              </w:rPr>
              <w:t>Adj. EPS Consensus</w:t>
            </w:r>
          </w:p>
        </w:tc>
        <w:tc>
          <w:tcPr>
            <w:tcW w:type="dxa" w:w="1080"/>
            <w:shd w:val="clear" w:color="auto" w:fill="3B4259"/>
          </w:tcPr>
          <w:p>
            <w:r>
              <w:rPr>
                <w:rFonts w:ascii="Calibri" w:hAnsi="Calibri"/>
                <w:b/>
                <w:color w:val="FFFFFF"/>
                <w:sz w:val="22"/>
              </w:rPr>
              <w:t>Adj. EPS Surprise</w:t>
            </w:r>
          </w:p>
        </w:tc>
        <w:tc>
          <w:tcPr>
            <w:tcW w:type="dxa" w:w="1080"/>
            <w:shd w:val="clear" w:color="auto" w:fill="3B4259"/>
          </w:tcPr>
          <w:p>
            <w:r>
              <w:rPr>
                <w:rFonts w:ascii="Calibri" w:hAnsi="Calibri"/>
                <w:b/>
                <w:color w:val="FFFFFF"/>
                <w:sz w:val="22"/>
              </w:rPr>
              <w:t>Result</w:t>
            </w:r>
          </w:p>
        </w:tc>
      </w:tr>
      <w:tr>
        <w:tc>
          <w:tcPr>
            <w:tcW w:type="dxa" w:w="1080"/>
          </w:tcPr>
          <w:p>
            <w:r>
              <w:rPr>
                <w:rFonts w:ascii="Calibri" w:hAnsi="Calibri"/>
                <w:sz w:val="22"/>
              </w:rPr>
              <w:t>Q2 2024</w:t>
            </w:r>
          </w:p>
        </w:tc>
        <w:tc>
          <w:tcPr>
            <w:tcW w:type="dxa" w:w="1080"/>
          </w:tcPr>
          <w:p>
            <w:r>
              <w:rPr>
                <w:rFonts w:ascii="Calibri" w:hAnsi="Calibri"/>
                <w:sz w:val="22"/>
              </w:rPr>
              <w:t>6.0%</w:t>
            </w:r>
          </w:p>
        </w:tc>
        <w:tc>
          <w:tcPr>
            <w:tcW w:type="dxa" w:w="1080"/>
          </w:tcPr>
          <w:p>
            <w:r>
              <w:rPr>
                <w:rFonts w:ascii="Calibri" w:hAnsi="Calibri"/>
                <w:sz w:val="22"/>
              </w:rPr>
              <w:t>5.85%</w:t>
            </w:r>
          </w:p>
        </w:tc>
        <w:tc>
          <w:tcPr>
            <w:tcW w:type="dxa" w:w="1080"/>
          </w:tcPr>
          <w:p>
            <w:r>
              <w:rPr>
                <w:rFonts w:ascii="Calibri" w:hAnsi="Calibri"/>
                <w:b/>
                <w:color w:val="30A46C"/>
                <w:sz w:val="22"/>
              </w:rPr>
              <w:t>+15 bps</w:t>
            </w:r>
          </w:p>
        </w:tc>
        <w:tc>
          <w:tcPr>
            <w:tcW w:type="dxa" w:w="1080"/>
          </w:tcPr>
          <w:p>
            <w:r>
              <w:rPr>
                <w:rFonts w:ascii="Calibri" w:hAnsi="Calibri"/>
                <w:sz w:val="22"/>
              </w:rPr>
              <w:t>$2.39</w:t>
            </w:r>
          </w:p>
        </w:tc>
        <w:tc>
          <w:tcPr>
            <w:tcW w:type="dxa" w:w="1080"/>
          </w:tcPr>
          <w:p>
            <w:r>
              <w:rPr>
                <w:rFonts w:ascii="Calibri" w:hAnsi="Calibri"/>
                <w:sz w:val="22"/>
              </w:rPr>
              <w:t>$2.32</w:t>
            </w:r>
          </w:p>
        </w:tc>
        <w:tc>
          <w:tcPr>
            <w:tcW w:type="dxa" w:w="1080"/>
          </w:tcPr>
          <w:p>
            <w:r>
              <w:rPr>
                <w:rFonts w:ascii="Calibri" w:hAnsi="Calibri"/>
                <w:b/>
                <w:color w:val="30A46C"/>
                <w:sz w:val="22"/>
              </w:rPr>
              <w:t>+$0.07 (+3.0%)</w:t>
            </w:r>
          </w:p>
        </w:tc>
        <w:tc>
          <w:tcPr>
            <w:tcW w:type="dxa" w:w="1080"/>
          </w:tcPr>
          <w:p>
            <w:r>
              <w:rPr>
                <w:rFonts w:ascii="Calibri" w:hAnsi="Calibri"/>
                <w:sz w:val="22"/>
              </w:rPr>
              <w:t>Beat / Beat</w:t>
            </w:r>
          </w:p>
        </w:tc>
      </w:tr>
      <w:tr>
        <w:tc>
          <w:tcPr>
            <w:tcW w:type="dxa" w:w="1080"/>
          </w:tcPr>
          <w:p>
            <w:r>
              <w:rPr>
                <w:rFonts w:ascii="Calibri" w:hAnsi="Calibri"/>
                <w:sz w:val="22"/>
              </w:rPr>
              <w:t>Q3 2024</w:t>
            </w:r>
          </w:p>
        </w:tc>
        <w:tc>
          <w:tcPr>
            <w:tcW w:type="dxa" w:w="1080"/>
          </w:tcPr>
          <w:p>
            <w:r>
              <w:rPr>
                <w:rFonts w:ascii="Calibri" w:hAnsi="Calibri"/>
                <w:sz w:val="22"/>
              </w:rPr>
              <w:t>6.0%</w:t>
            </w:r>
          </w:p>
        </w:tc>
        <w:tc>
          <w:tcPr>
            <w:tcW w:type="dxa" w:w="1080"/>
          </w:tcPr>
          <w:p>
            <w:r>
              <w:rPr>
                <w:rFonts w:ascii="Calibri" w:hAnsi="Calibri"/>
                <w:sz w:val="22"/>
              </w:rPr>
              <w:t>5.82%</w:t>
            </w:r>
          </w:p>
        </w:tc>
        <w:tc>
          <w:tcPr>
            <w:tcW w:type="dxa" w:w="1080"/>
          </w:tcPr>
          <w:p>
            <w:r>
              <w:rPr>
                <w:rFonts w:ascii="Calibri" w:hAnsi="Calibri"/>
                <w:b/>
                <w:color w:val="30A46C"/>
                <w:sz w:val="22"/>
              </w:rPr>
              <w:t>+18 bps</w:t>
            </w:r>
          </w:p>
        </w:tc>
        <w:tc>
          <w:tcPr>
            <w:tcW w:type="dxa" w:w="1080"/>
          </w:tcPr>
          <w:p>
            <w:r>
              <w:rPr>
                <w:rFonts w:ascii="Calibri" w:hAnsi="Calibri"/>
                <w:sz w:val="22"/>
              </w:rPr>
              <w:t>$2.77</w:t>
            </w:r>
          </w:p>
        </w:tc>
        <w:tc>
          <w:tcPr>
            <w:tcW w:type="dxa" w:w="1080"/>
          </w:tcPr>
          <w:p>
            <w:r>
              <w:rPr>
                <w:rFonts w:ascii="Calibri" w:hAnsi="Calibri"/>
                <w:sz w:val="22"/>
              </w:rPr>
              <w:t>$2.71</w:t>
            </w:r>
          </w:p>
        </w:tc>
        <w:tc>
          <w:tcPr>
            <w:tcW w:type="dxa" w:w="1080"/>
          </w:tcPr>
          <w:p>
            <w:r>
              <w:rPr>
                <w:rFonts w:ascii="Calibri" w:hAnsi="Calibri"/>
                <w:b/>
                <w:color w:val="30A46C"/>
                <w:sz w:val="22"/>
              </w:rPr>
              <w:t>+$0.06 (+2.2%)</w:t>
            </w:r>
          </w:p>
        </w:tc>
        <w:tc>
          <w:tcPr>
            <w:tcW w:type="dxa" w:w="1080"/>
          </w:tcPr>
          <w:p>
            <w:r>
              <w:rPr>
                <w:rFonts w:ascii="Calibri" w:hAnsi="Calibri"/>
                <w:sz w:val="22"/>
              </w:rPr>
              <w:t>Beat / Beat</w:t>
            </w:r>
          </w:p>
        </w:tc>
      </w:tr>
      <w:tr>
        <w:tc>
          <w:tcPr>
            <w:tcW w:type="dxa" w:w="1080"/>
          </w:tcPr>
          <w:p>
            <w:r>
              <w:rPr>
                <w:rFonts w:ascii="Calibri" w:hAnsi="Calibri"/>
                <w:sz w:val="22"/>
              </w:rPr>
              <w:t>Q4 2024</w:t>
            </w:r>
          </w:p>
        </w:tc>
        <w:tc>
          <w:tcPr>
            <w:tcW w:type="dxa" w:w="1080"/>
          </w:tcPr>
          <w:p>
            <w:r>
              <w:rPr>
                <w:rFonts w:ascii="Calibri" w:hAnsi="Calibri"/>
                <w:sz w:val="22"/>
              </w:rPr>
              <w:t>5.0%</w:t>
            </w:r>
          </w:p>
        </w:tc>
        <w:tc>
          <w:tcPr>
            <w:tcW w:type="dxa" w:w="1080"/>
          </w:tcPr>
          <w:p>
            <w:r>
              <w:rPr>
                <w:rFonts w:ascii="Calibri" w:hAnsi="Calibri"/>
                <w:sz w:val="22"/>
              </w:rPr>
              <w:t>4.85%</w:t>
            </w:r>
          </w:p>
        </w:tc>
        <w:tc>
          <w:tcPr>
            <w:tcW w:type="dxa" w:w="1080"/>
          </w:tcPr>
          <w:p>
            <w:r>
              <w:rPr>
                <w:rFonts w:ascii="Calibri" w:hAnsi="Calibri"/>
                <w:b/>
                <w:color w:val="30A46C"/>
                <w:sz w:val="22"/>
              </w:rPr>
              <w:t>+15 bps</w:t>
            </w:r>
          </w:p>
        </w:tc>
        <w:tc>
          <w:tcPr>
            <w:tcW w:type="dxa" w:w="1080"/>
          </w:tcPr>
          <w:p>
            <w:r>
              <w:rPr>
                <w:rFonts w:ascii="Calibri" w:hAnsi="Calibri"/>
                <w:sz w:val="22"/>
              </w:rPr>
              <w:t>$7.97</w:t>
            </w:r>
          </w:p>
        </w:tc>
        <w:tc>
          <w:tcPr>
            <w:tcW w:type="dxa" w:w="1080"/>
          </w:tcPr>
          <w:p>
            <w:r>
              <w:rPr>
                <w:rFonts w:ascii="Calibri" w:hAnsi="Calibri"/>
                <w:sz w:val="22"/>
              </w:rPr>
              <w:t>$8.03</w:t>
            </w:r>
          </w:p>
        </w:tc>
        <w:tc>
          <w:tcPr>
            <w:tcW w:type="dxa" w:w="1080"/>
          </w:tcPr>
          <w:p>
            <w:r>
              <w:rPr>
                <w:rFonts w:ascii="Calibri" w:hAnsi="Calibri"/>
                <w:b/>
                <w:color w:val="E5484D"/>
                <w:sz w:val="22"/>
              </w:rPr>
              <w:t>-$0.06 (-0.7%)</w:t>
            </w:r>
          </w:p>
        </w:tc>
        <w:tc>
          <w:tcPr>
            <w:tcW w:type="dxa" w:w="1080"/>
          </w:tcPr>
          <w:p>
            <w:r>
              <w:rPr>
                <w:rFonts w:ascii="Calibri" w:hAnsi="Calibri"/>
                <w:sz w:val="22"/>
              </w:rPr>
              <w:t>Beat / Miss</w:t>
            </w:r>
          </w:p>
        </w:tc>
      </w:tr>
      <w:tr>
        <w:tc>
          <w:tcPr>
            <w:tcW w:type="dxa" w:w="1080"/>
          </w:tcPr>
          <w:p>
            <w:r>
              <w:rPr>
                <w:rFonts w:ascii="Calibri" w:hAnsi="Calibri"/>
                <w:sz w:val="22"/>
              </w:rPr>
              <w:t>Q1 2025</w:t>
            </w:r>
          </w:p>
        </w:tc>
        <w:tc>
          <w:tcPr>
            <w:tcW w:type="dxa" w:w="1080"/>
          </w:tcPr>
          <w:p>
            <w:r>
              <w:rPr>
                <w:rFonts w:ascii="Calibri" w:hAnsi="Calibri"/>
                <w:sz w:val="22"/>
              </w:rPr>
              <w:t>5.0%</w:t>
            </w:r>
          </w:p>
        </w:tc>
        <w:tc>
          <w:tcPr>
            <w:tcW w:type="dxa" w:w="1080"/>
          </w:tcPr>
          <w:p>
            <w:r>
              <w:rPr>
                <w:rFonts w:ascii="Calibri" w:hAnsi="Calibri"/>
                <w:sz w:val="22"/>
              </w:rPr>
              <w:t>5.04%</w:t>
            </w:r>
          </w:p>
        </w:tc>
        <w:tc>
          <w:tcPr>
            <w:tcW w:type="dxa" w:w="1080"/>
          </w:tcPr>
          <w:p>
            <w:r>
              <w:rPr>
                <w:rFonts w:ascii="Calibri" w:hAnsi="Calibri"/>
                <w:b/>
                <w:color w:val="E5484D"/>
                <w:sz w:val="22"/>
              </w:rPr>
              <w:t>-4 bps</w:t>
            </w:r>
          </w:p>
        </w:tc>
        <w:tc>
          <w:tcPr>
            <w:tcW w:type="dxa" w:w="1080"/>
          </w:tcPr>
          <w:p>
            <w:r>
              <w:rPr>
                <w:rFonts w:ascii="Calibri" w:hAnsi="Calibri"/>
                <w:sz w:val="22"/>
              </w:rPr>
              <w:t>$3.13</w:t>
            </w:r>
          </w:p>
        </w:tc>
        <w:tc>
          <w:tcPr>
            <w:tcW w:type="dxa" w:w="1080"/>
          </w:tcPr>
          <w:p>
            <w:r>
              <w:rPr>
                <w:rFonts w:ascii="Calibri" w:hAnsi="Calibri"/>
                <w:sz w:val="22"/>
              </w:rPr>
              <w:t>$3.20</w:t>
            </w:r>
          </w:p>
        </w:tc>
        <w:tc>
          <w:tcPr>
            <w:tcW w:type="dxa" w:w="1080"/>
          </w:tcPr>
          <w:p>
            <w:r>
              <w:rPr>
                <w:rFonts w:ascii="Calibri" w:hAnsi="Calibri"/>
                <w:b/>
                <w:color w:val="E5484D"/>
                <w:sz w:val="22"/>
              </w:rPr>
              <w:t>-$0.07 (-2.2%)</w:t>
            </w:r>
          </w:p>
        </w:tc>
        <w:tc>
          <w:tcPr>
            <w:tcW w:type="dxa" w:w="1080"/>
          </w:tcPr>
          <w:p>
            <w:r>
              <w:rPr>
                <w:rFonts w:ascii="Calibri" w:hAnsi="Calibri"/>
                <w:sz w:val="22"/>
              </w:rPr>
              <w:t>Miss / Miss</w:t>
            </w:r>
          </w:p>
        </w:tc>
      </w:tr>
      <w:tr>
        <w:tc>
          <w:tcPr>
            <w:tcW w:type="dxa" w:w="1080"/>
          </w:tcPr>
          <w:p>
            <w:r>
              <w:rPr>
                <w:rFonts w:ascii="Calibri" w:hAnsi="Calibri"/>
                <w:sz w:val="22"/>
              </w:rPr>
              <w:t>Q2 2025</w:t>
            </w:r>
          </w:p>
        </w:tc>
        <w:tc>
          <w:tcPr>
            <w:tcW w:type="dxa" w:w="1080"/>
          </w:tcPr>
          <w:p>
            <w:r>
              <w:rPr>
                <w:rFonts w:ascii="Calibri" w:hAnsi="Calibri"/>
                <w:sz w:val="22"/>
              </w:rPr>
              <w:t>5.0%</w:t>
            </w:r>
          </w:p>
        </w:tc>
        <w:tc>
          <w:tcPr>
            <w:tcW w:type="dxa" w:w="1080"/>
          </w:tcPr>
          <w:p>
            <w:r>
              <w:rPr>
                <w:rFonts w:ascii="Calibri" w:hAnsi="Calibri"/>
                <w:sz w:val="22"/>
              </w:rPr>
              <w:t>4.64%</w:t>
            </w:r>
          </w:p>
        </w:tc>
        <w:tc>
          <w:tcPr>
            <w:tcW w:type="dxa" w:w="1080"/>
          </w:tcPr>
          <w:p>
            <w:r>
              <w:rPr>
                <w:rFonts w:ascii="Calibri" w:hAnsi="Calibri"/>
                <w:b/>
                <w:color w:val="30A46C"/>
                <w:sz w:val="22"/>
              </w:rPr>
              <w:t>+36 bps</w:t>
            </w:r>
          </w:p>
        </w:tc>
        <w:tc>
          <w:tcPr>
            <w:tcW w:type="dxa" w:w="1080"/>
          </w:tcPr>
          <w:p>
            <w:r>
              <w:rPr>
                <w:rFonts w:ascii="Calibri" w:hAnsi="Calibri"/>
                <w:sz w:val="22"/>
              </w:rPr>
              <w:t>$2.86</w:t>
            </w:r>
          </w:p>
        </w:tc>
        <w:tc>
          <w:tcPr>
            <w:tcW w:type="dxa" w:w="1080"/>
          </w:tcPr>
          <w:p>
            <w:r>
              <w:rPr>
                <w:rFonts w:ascii="Calibri" w:hAnsi="Calibri"/>
                <w:sz w:val="22"/>
              </w:rPr>
              <w:t>$2.61</w:t>
            </w:r>
          </w:p>
        </w:tc>
        <w:tc>
          <w:tcPr>
            <w:tcW w:type="dxa" w:w="1080"/>
          </w:tcPr>
          <w:p>
            <w:r>
              <w:rPr>
                <w:rFonts w:ascii="Calibri" w:hAnsi="Calibri"/>
                <w:b/>
                <w:color w:val="30A46C"/>
                <w:sz w:val="22"/>
              </w:rPr>
              <w:t>+$0.25 (+9.6%)</w:t>
            </w:r>
          </w:p>
        </w:tc>
        <w:tc>
          <w:tcPr>
            <w:tcW w:type="dxa" w:w="1080"/>
          </w:tcPr>
          <w:p>
            <w:r>
              <w:rPr>
                <w:rFonts w:ascii="Calibri" w:hAnsi="Calibri"/>
                <w:sz w:val="22"/>
              </w:rPr>
              <w:t>Beat / Beat</w:t>
            </w:r>
          </w:p>
        </w:tc>
      </w:tr>
      <w:tr>
        <w:tc>
          <w:tcPr>
            <w:tcW w:type="dxa" w:w="1080"/>
          </w:tcPr>
          <w:p>
            <w:r>
              <w:rPr>
                <w:rFonts w:ascii="Calibri" w:hAnsi="Calibri"/>
                <w:sz w:val="22"/>
              </w:rPr>
              <w:t>Q3 2025</w:t>
            </w:r>
          </w:p>
        </w:tc>
        <w:tc>
          <w:tcPr>
            <w:tcW w:type="dxa" w:w="1080"/>
          </w:tcPr>
          <w:p>
            <w:r>
              <w:rPr>
                <w:rFonts w:ascii="Calibri" w:hAnsi="Calibri"/>
                <w:sz w:val="22"/>
              </w:rPr>
              <w:t>5.0%</w:t>
            </w:r>
          </w:p>
        </w:tc>
        <w:tc>
          <w:tcPr>
            <w:tcW w:type="dxa" w:w="1080"/>
          </w:tcPr>
          <w:p>
            <w:r>
              <w:rPr>
                <w:rFonts w:ascii="Calibri" w:hAnsi="Calibri"/>
                <w:sz w:val="22"/>
              </w:rPr>
              <w:t>5.11%</w:t>
            </w:r>
          </w:p>
        </w:tc>
        <w:tc>
          <w:tcPr>
            <w:tcW w:type="dxa" w:w="1080"/>
          </w:tcPr>
          <w:p>
            <w:r>
              <w:rPr>
                <w:rFonts w:ascii="Calibri" w:hAnsi="Calibri"/>
                <w:b/>
                <w:color w:val="E5484D"/>
                <w:sz w:val="22"/>
              </w:rPr>
              <w:t>-11 bps</w:t>
            </w:r>
          </w:p>
        </w:tc>
        <w:tc>
          <w:tcPr>
            <w:tcW w:type="dxa" w:w="1080"/>
          </w:tcPr>
          <w:p>
            <w:r>
              <w:rPr>
                <w:rFonts w:ascii="Calibri" w:hAnsi="Calibri"/>
                <w:sz w:val="22"/>
              </w:rPr>
              <w:t>$3.07</w:t>
            </w:r>
          </w:p>
        </w:tc>
        <w:tc>
          <w:tcPr>
            <w:tcW w:type="dxa" w:w="1080"/>
          </w:tcPr>
          <w:p>
            <w:r>
              <w:rPr>
                <w:rFonts w:ascii="Calibri" w:hAnsi="Calibri"/>
                <w:sz w:val="22"/>
              </w:rPr>
              <w:t>$3.05</w:t>
            </w:r>
          </w:p>
        </w:tc>
        <w:tc>
          <w:tcPr>
            <w:tcW w:type="dxa" w:w="1080"/>
          </w:tcPr>
          <w:p>
            <w:r>
              <w:rPr>
                <w:rFonts w:ascii="Calibri" w:hAnsi="Calibri"/>
                <w:b/>
                <w:color w:val="30A46C"/>
                <w:sz w:val="22"/>
              </w:rPr>
              <w:t>+$0.02 (+0.7%)</w:t>
            </w:r>
          </w:p>
        </w:tc>
        <w:tc>
          <w:tcPr>
            <w:tcW w:type="dxa" w:w="1080"/>
          </w:tcPr>
          <w:p>
            <w:r>
              <w:rPr>
                <w:rFonts w:ascii="Calibri" w:hAnsi="Calibri"/>
                <w:sz w:val="22"/>
              </w:rPr>
              <w:t>Miss / Beat</w:t>
            </w:r>
          </w:p>
        </w:tc>
      </w:tr>
      <w:tr>
        <w:tc>
          <w:tcPr>
            <w:tcW w:type="dxa" w:w="1080"/>
          </w:tcPr>
          <w:p>
            <w:r>
              <w:rPr>
                <w:rFonts w:ascii="Calibri" w:hAnsi="Calibri"/>
                <w:sz w:val="22"/>
              </w:rPr>
              <w:t>Q4 2025</w:t>
            </w:r>
          </w:p>
        </w:tc>
        <w:tc>
          <w:tcPr>
            <w:tcW w:type="dxa" w:w="1080"/>
          </w:tcPr>
          <w:p>
            <w:r>
              <w:rPr>
                <w:rFonts w:ascii="Calibri" w:hAnsi="Calibri"/>
                <w:sz w:val="22"/>
              </w:rPr>
              <w:t>6.0%</w:t>
            </w:r>
          </w:p>
        </w:tc>
        <w:tc>
          <w:tcPr>
            <w:tcW w:type="dxa" w:w="1080"/>
          </w:tcPr>
          <w:p>
            <w:r>
              <w:rPr>
                <w:rFonts w:ascii="Calibri" w:hAnsi="Calibri"/>
                <w:sz w:val="22"/>
              </w:rPr>
              <w:t>4.73%</w:t>
            </w:r>
          </w:p>
        </w:tc>
        <w:tc>
          <w:tcPr>
            <w:tcW w:type="dxa" w:w="1080"/>
          </w:tcPr>
          <w:p>
            <w:r>
              <w:rPr>
                <w:rFonts w:ascii="Calibri" w:hAnsi="Calibri"/>
                <w:b/>
                <w:color w:val="30A46C"/>
                <w:sz w:val="22"/>
              </w:rPr>
              <w:t>+127 bps</w:t>
            </w:r>
          </w:p>
        </w:tc>
        <w:tc>
          <w:tcPr>
            <w:tcW w:type="dxa" w:w="1080"/>
          </w:tcPr>
          <w:p>
            <w:r>
              <w:rPr>
                <w:rFonts w:ascii="Calibri" w:hAnsi="Calibri"/>
                <w:sz w:val="22"/>
              </w:rPr>
              <w:t>$8.12</w:t>
            </w:r>
          </w:p>
        </w:tc>
        <w:tc>
          <w:tcPr>
            <w:tcW w:type="dxa" w:w="1080"/>
          </w:tcPr>
          <w:p>
            <w:r>
              <w:rPr>
                <w:rFonts w:ascii="Calibri" w:hAnsi="Calibri"/>
                <w:sz w:val="22"/>
              </w:rPr>
              <w:t>$8.00</w:t>
            </w:r>
          </w:p>
        </w:tc>
        <w:tc>
          <w:tcPr>
            <w:tcW w:type="dxa" w:w="1080"/>
          </w:tcPr>
          <w:p>
            <w:r>
              <w:rPr>
                <w:rFonts w:ascii="Calibri" w:hAnsi="Calibri"/>
                <w:b/>
                <w:color w:val="30A46C"/>
                <w:sz w:val="22"/>
              </w:rPr>
              <w:t>+$0.12 (+1.5%)</w:t>
            </w:r>
          </w:p>
        </w:tc>
        <w:tc>
          <w:tcPr>
            <w:tcW w:type="dxa" w:w="1080"/>
          </w:tcPr>
          <w:p>
            <w:r>
              <w:rPr>
                <w:rFonts w:ascii="Calibri" w:hAnsi="Calibri"/>
                <w:sz w:val="22"/>
              </w:rPr>
              <w:t>Beat / Beat</w:t>
            </w:r>
          </w:p>
        </w:tc>
      </w:tr>
      <w:tr>
        <w:tc>
          <w:tcPr>
            <w:tcW w:type="dxa" w:w="1080"/>
          </w:tcPr>
          <w:p>
            <w:r>
              <w:rPr>
                <w:rFonts w:ascii="Calibri" w:hAnsi="Calibri"/>
                <w:sz w:val="22"/>
              </w:rPr>
              <w:t>Q1 2026</w:t>
            </w:r>
          </w:p>
        </w:tc>
        <w:tc>
          <w:tcPr>
            <w:tcW w:type="dxa" w:w="1080"/>
          </w:tcPr>
          <w:p>
            <w:r>
              <w:rPr>
                <w:rFonts w:ascii="Calibri" w:hAnsi="Calibri"/>
                <w:sz w:val="22"/>
              </w:rPr>
              <w:t>3.0%</w:t>
            </w:r>
          </w:p>
        </w:tc>
        <w:tc>
          <w:tcPr>
            <w:tcW w:type="dxa" w:w="1080"/>
          </w:tcPr>
          <w:p>
            <w:r>
              <w:rPr>
                <w:rFonts w:ascii="Calibri" w:hAnsi="Calibri"/>
                <w:sz w:val="22"/>
              </w:rPr>
              <w:t>4.80%</w:t>
            </w:r>
          </w:p>
        </w:tc>
        <w:tc>
          <w:tcPr>
            <w:tcW w:type="dxa" w:w="1080"/>
          </w:tcPr>
          <w:p>
            <w:r>
              <w:rPr>
                <w:rFonts w:ascii="Calibri" w:hAnsi="Calibri"/>
                <w:b/>
                <w:color w:val="E5484D"/>
                <w:sz w:val="22"/>
              </w:rPr>
              <w:t>-180 bps</w:t>
            </w:r>
          </w:p>
        </w:tc>
        <w:tc>
          <w:tcPr>
            <w:tcW w:type="dxa" w:w="1080"/>
          </w:tcPr>
          <w:p>
            <w:r>
              <w:rPr>
                <w:rFonts w:ascii="Calibri" w:hAnsi="Calibri"/>
                <w:sz w:val="22"/>
              </w:rPr>
              <w:t>$3.72</w:t>
            </w:r>
          </w:p>
        </w:tc>
        <w:tc>
          <w:tcPr>
            <w:tcW w:type="dxa" w:w="1080"/>
          </w:tcPr>
          <w:p>
            <w:r>
              <w:rPr>
                <w:rFonts w:ascii="Calibri" w:hAnsi="Calibri"/>
                <w:sz w:val="22"/>
              </w:rPr>
              <w:t>$3.66</w:t>
            </w:r>
          </w:p>
        </w:tc>
        <w:tc>
          <w:tcPr>
            <w:tcW w:type="dxa" w:w="1080"/>
          </w:tcPr>
          <w:p>
            <w:r>
              <w:rPr>
                <w:rFonts w:ascii="Calibri" w:hAnsi="Calibri"/>
                <w:b/>
                <w:color w:val="30A46C"/>
                <w:sz w:val="22"/>
              </w:rPr>
              <w:t>+$0.06 (+1.6%)</w:t>
            </w:r>
          </w:p>
        </w:tc>
        <w:tc>
          <w:tcPr>
            <w:tcW w:type="dxa" w:w="1080"/>
          </w:tcPr>
          <w:p>
            <w:r>
              <w:rPr>
                <w:rFonts w:ascii="Calibri" w:hAnsi="Calibri"/>
                <w:sz w:val="22"/>
              </w:rPr>
              <w:t>Miss / Beat</w:t>
            </w:r>
          </w:p>
        </w:tc>
      </w:tr>
    </w:tbl>
    <w:p>
      <w:r>
        <w:rPr>
          <w:rFonts w:ascii="Calibri" w:hAnsi="Calibri"/>
          <w:i/>
          <w:color w:val="525866"/>
          <w:sz w:val="22"/>
        </w:rPr>
        <w:t>Source: Visible Alpha Consensus and Actuals Data.</w:t>
      </w:r>
      <w:r>
        <w:rPr>
          <w:rFonts w:ascii="Calibri" w:hAnsi="Calibri"/>
          <w:color w:val="525866"/>
          <w:sz w:val="22"/>
        </w:rPr>
        <w:t xml:space="preserve"> WTW has beaten EPS consensus in 6 of the last 8 quarters, but organic revenue growth has been more mixed — the Q1 2026 miss was the largest negative surprise in the trailing 8-quarter window and the primary driver of the sharp stock sell-off.</w:t>
      </w:r>
    </w:p>
    <w:p>
      <w:r>
        <w:br w:type="page"/>
      </w:r>
    </w:p>
    <w:p>
      <w:pPr>
        <w:pStyle w:val="Heading2"/>
      </w:pPr>
      <w:r>
        <w:rPr>
          <w:rFonts w:ascii="Calibri" w:hAnsi="Calibri"/>
          <w:b/>
          <w:color w:val="3B4259"/>
          <w:sz w:val="28"/>
        </w:rPr>
        <w:t>3. Guidance &amp; Commentary Evolution</w:t>
      </w:r>
    </w:p>
    <w:p>
      <w:r>
        <w:rPr>
          <w:rFonts w:ascii="Calibri" w:hAnsi="Calibri"/>
          <w:b/>
          <w:color w:val="525866"/>
          <w:sz w:val="22"/>
        </w:rPr>
        <w:t xml:space="preserve">Key Takeaway: </w:t>
      </w:r>
      <w:r>
        <w:rPr>
          <w:rFonts w:ascii="Calibri" w:hAnsi="Calibri"/>
          <w:color w:val="525866"/>
          <w:sz w:val="22"/>
        </w:rPr>
        <w:t xml:space="preserve">Management narrowed full-year R&amp;B guidance to mid-single digits (from mid-to-high single digits) at Q1 earnings — the only formal guidance change since last earnings — while maintaining all other FY 2026 commitments; </w:t>
      </w:r>
    </w:p>
    <w:p>
      <w:r>
        <w:rPr>
          <w:rFonts w:ascii="Calibri" w:hAnsi="Calibri"/>
          <w:b/>
          <w:color w:val="525866"/>
          <w:sz w:val="22"/>
        </w:rPr>
        <w:t>tone is cautiously stabilizing</w:t>
      </w:r>
      <w:r>
        <w:rPr>
          <w:rFonts w:ascii="Calibri" w:hAnsi="Calibri"/>
          <w:color w:val="525866"/>
          <w:sz w:val="22"/>
        </w:rPr>
        <w:t>, anchored by Lucy Clarke's April comment that CRB returned to "mid-single digit or better" growth in April.</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Metric</w:t>
            </w:r>
          </w:p>
        </w:tc>
        <w:tc>
          <w:tcPr>
            <w:tcW w:type="dxa" w:w="1728"/>
            <w:shd w:val="clear" w:color="auto" w:fill="3B4259"/>
          </w:tcPr>
          <w:p>
            <w:r>
              <w:rPr>
                <w:rFonts w:ascii="Calibri" w:hAnsi="Calibri"/>
                <w:b/>
                <w:color w:val="FFFFFF"/>
                <w:sz w:val="22"/>
              </w:rPr>
              <w:t>Initial Guidance (Q1 2026 Earnings Call, Apr 30)</w:t>
            </w:r>
          </w:p>
        </w:tc>
        <w:tc>
          <w:tcPr>
            <w:tcW w:type="dxa" w:w="1728"/>
            <w:shd w:val="clear" w:color="auto" w:fill="3B4259"/>
          </w:tcPr>
          <w:p>
            <w:r>
              <w:rPr>
                <w:rFonts w:ascii="Calibri" w:hAnsi="Calibri"/>
                <w:b/>
                <w:color w:val="FFFFFF"/>
                <w:sz w:val="22"/>
              </w:rPr>
              <w:t>Revised Guidance</w:t>
            </w:r>
          </w:p>
        </w:tc>
        <w:tc>
          <w:tcPr>
            <w:tcW w:type="dxa" w:w="1728"/>
            <w:shd w:val="clear" w:color="auto" w:fill="3B4259"/>
          </w:tcPr>
          <w:p>
            <w:r>
              <w:rPr>
                <w:rFonts w:ascii="Calibri" w:hAnsi="Calibri"/>
                <w:b/>
                <w:color w:val="FFFFFF"/>
                <w:sz w:val="22"/>
              </w:rPr>
              <w:t>Current Consensus</w:t>
            </w:r>
          </w:p>
        </w:tc>
        <w:tc>
          <w:tcPr>
            <w:tcW w:type="dxa" w:w="1728"/>
            <w:shd w:val="clear" w:color="auto" w:fill="3B4259"/>
          </w:tcPr>
          <w:p>
            <w:r>
              <w:rPr>
                <w:rFonts w:ascii="Calibri" w:hAnsi="Calibri"/>
                <w:b/>
                <w:color w:val="FFFFFF"/>
                <w:sz w:val="22"/>
              </w:rPr>
              <w:t>Note</w:t>
            </w:r>
          </w:p>
        </w:tc>
      </w:tr>
      <w:tr>
        <w:tc>
          <w:tcPr>
            <w:tcW w:type="dxa" w:w="1728"/>
          </w:tcPr>
          <w:p>
            <w:r>
              <w:rPr>
                <w:rFonts w:ascii="Calibri" w:hAnsi="Calibri"/>
                <w:sz w:val="22"/>
              </w:rPr>
              <w:t>Enterprise Organic Revenue Growth (FY 2026)</w:t>
            </w:r>
          </w:p>
        </w:tc>
        <w:tc>
          <w:tcPr>
            <w:tcW w:type="dxa" w:w="1728"/>
          </w:tcPr>
          <w:p>
            <w:r>
              <w:rPr>
                <w:rFonts w:ascii="Calibri" w:hAnsi="Calibri"/>
                <w:sz w:val="22"/>
              </w:rPr>
              <w:t>Mid-single digits</w:t>
            </w:r>
          </w:p>
        </w:tc>
        <w:tc>
          <w:tcPr>
            <w:tcW w:type="dxa" w:w="1728"/>
          </w:tcPr>
          <w:p>
            <w:r>
              <w:rPr>
                <w:rFonts w:ascii="Calibri" w:hAnsi="Calibri"/>
                <w:sz w:val="22"/>
              </w:rPr>
              <w:t>—</w:t>
            </w:r>
          </w:p>
        </w:tc>
        <w:tc>
          <w:tcPr>
            <w:tcW w:type="dxa" w:w="1728"/>
          </w:tcPr>
          <w:p>
            <w:r>
              <w:rPr>
                <w:rFonts w:ascii="Calibri" w:hAnsi="Calibri"/>
                <w:sz w:val="22"/>
              </w:rPr>
              <w:t>~4.0%</w:t>
            </w:r>
          </w:p>
        </w:tc>
        <w:tc>
          <w:tcPr>
            <w:tcW w:type="dxa" w:w="1728"/>
          </w:tcPr>
          <w:p>
            <w:r>
              <w:rPr>
                <w:rFonts w:ascii="Calibri" w:hAnsi="Calibri"/>
                <w:sz w:val="22"/>
              </w:rPr>
              <w:t>Unchanged; consensus at low end of mid-single-digit range</w:t>
            </w:r>
          </w:p>
        </w:tc>
      </w:tr>
      <w:tr>
        <w:tc>
          <w:tcPr>
            <w:tcW w:type="dxa" w:w="1728"/>
          </w:tcPr>
          <w:p>
            <w:r>
              <w:rPr>
                <w:rFonts w:ascii="Calibri" w:hAnsi="Calibri"/>
                <w:sz w:val="22"/>
              </w:rPr>
              <w:t>R&amp;B Organic Growth (FY 2026)</w:t>
            </w:r>
          </w:p>
        </w:tc>
        <w:tc>
          <w:tcPr>
            <w:tcW w:type="dxa" w:w="1728"/>
          </w:tcPr>
          <w:p>
            <w:r>
              <w:rPr>
                <w:rFonts w:ascii="Calibri" w:hAnsi="Calibri"/>
                <w:sz w:val="22"/>
              </w:rPr>
              <w:t>Mid-single digits (narrowed from mid-to-high single digits at Q4 2025 call)</w:t>
            </w:r>
          </w:p>
        </w:tc>
        <w:tc>
          <w:tcPr>
            <w:tcW w:type="dxa" w:w="1728"/>
          </w:tcPr>
          <w:p>
            <w:r>
              <w:rPr>
                <w:rFonts w:ascii="Calibri" w:hAnsi="Calibri"/>
                <w:sz w:val="22"/>
              </w:rPr>
              <w:t>—</w:t>
            </w:r>
          </w:p>
        </w:tc>
        <w:tc>
          <w:tcPr>
            <w:tcW w:type="dxa" w:w="1728"/>
          </w:tcPr>
          <w:p>
            <w:r>
              <w:rPr>
                <w:rFonts w:ascii="Calibri" w:hAnsi="Calibri"/>
                <w:sz w:val="22"/>
              </w:rPr>
              <w:t>~3.8%</w:t>
            </w:r>
          </w:p>
        </w:tc>
        <w:tc>
          <w:tcPr>
            <w:tcW w:type="dxa" w:w="1728"/>
          </w:tcPr>
          <w:p>
            <w:r>
              <w:rPr>
                <w:rFonts w:ascii="Calibri" w:hAnsi="Calibri"/>
                <w:sz w:val="22"/>
              </w:rPr>
              <w:t>↓ Lowered at Q1 2026 earnings (Apr 30); cited new business timing miss, competitive pricing in large/complex accounts, and Middle East disruption. April CRB growth described as "mid-single digit or better."</w:t>
            </w:r>
          </w:p>
        </w:tc>
      </w:tr>
      <w:tr>
        <w:tc>
          <w:tcPr>
            <w:tcW w:type="dxa" w:w="1728"/>
          </w:tcPr>
          <w:p>
            <w:r>
              <w:rPr>
                <w:rFonts w:ascii="Calibri" w:hAnsi="Calibri"/>
                <w:sz w:val="22"/>
              </w:rPr>
              <w:t>HWC Organic Growth (FY 2026)</w:t>
            </w:r>
          </w:p>
        </w:tc>
        <w:tc>
          <w:tcPr>
            <w:tcW w:type="dxa" w:w="1728"/>
          </w:tcPr>
          <w:p>
            <w:r>
              <w:rPr>
                <w:rFonts w:ascii="Calibri" w:hAnsi="Calibri"/>
                <w:sz w:val="22"/>
              </w:rPr>
              <w:t>Mid-single digits</w:t>
            </w:r>
          </w:p>
        </w:tc>
        <w:tc>
          <w:tcPr>
            <w:tcW w:type="dxa" w:w="1728"/>
          </w:tcPr>
          <w:p>
            <w:r>
              <w:rPr>
                <w:rFonts w:ascii="Calibri" w:hAnsi="Calibri"/>
                <w:sz w:val="22"/>
              </w:rPr>
              <w:t>—</w:t>
            </w:r>
          </w:p>
        </w:tc>
        <w:tc>
          <w:tcPr>
            <w:tcW w:type="dxa" w:w="1728"/>
          </w:tcPr>
          <w:p>
            <w:r>
              <w:rPr>
                <w:rFonts w:ascii="Calibri" w:hAnsi="Calibri"/>
                <w:sz w:val="22"/>
              </w:rPr>
              <w:t>~3.6%</w:t>
            </w:r>
          </w:p>
        </w:tc>
        <w:tc>
          <w:tcPr>
            <w:tcW w:type="dxa" w:w="1728"/>
          </w:tcPr>
          <w:p>
            <w:r>
              <w:rPr>
                <w:rFonts w:ascii="Calibri" w:hAnsi="Calibri"/>
                <w:sz w:val="22"/>
              </w:rPr>
              <w:t>Unchanged; Health guided high-single-digit, Wealth high-end of low-single-digit, Career low-to-mid-single-digit, BD&amp;O low-single-digit</w:t>
            </w:r>
          </w:p>
        </w:tc>
      </w:tr>
      <w:tr>
        <w:tc>
          <w:tcPr>
            <w:tcW w:type="dxa" w:w="1728"/>
          </w:tcPr>
          <w:p>
            <w:r>
              <w:rPr>
                <w:rFonts w:ascii="Calibri" w:hAnsi="Calibri"/>
                <w:sz w:val="22"/>
              </w:rPr>
              <w:t>Adj. Operating Margin (FY 2026)</w:t>
            </w:r>
          </w:p>
        </w:tc>
        <w:tc>
          <w:tcPr>
            <w:tcW w:type="dxa" w:w="1728"/>
          </w:tcPr>
          <w:p>
            <w:r>
              <w:rPr>
                <w:rFonts w:ascii="Calibri" w:hAnsi="Calibri"/>
                <w:sz w:val="22"/>
              </w:rPr>
              <w:t>Continued expansion; R&amp;B committed to 100 bps avg. annual expansion over next 2 years</w:t>
            </w:r>
          </w:p>
        </w:tc>
        <w:tc>
          <w:tcPr>
            <w:tcW w:type="dxa" w:w="1728"/>
          </w:tcPr>
          <w:p>
            <w:r>
              <w:rPr>
                <w:rFonts w:ascii="Calibri" w:hAnsi="Calibri"/>
                <w:sz w:val="22"/>
              </w:rPr>
              <w:t>—</w:t>
            </w:r>
          </w:p>
        </w:tc>
        <w:tc>
          <w:tcPr>
            <w:tcW w:type="dxa" w:w="1728"/>
          </w:tcPr>
          <w:p>
            <w:r>
              <w:rPr>
                <w:rFonts w:ascii="Calibri" w:hAnsi="Calibri"/>
                <w:sz w:val="22"/>
              </w:rPr>
              <w:t>Expansion expected</w:t>
            </w:r>
          </w:p>
        </w:tc>
        <w:tc>
          <w:tcPr>
            <w:tcW w:type="dxa" w:w="1728"/>
          </w:tcPr>
          <w:p>
            <w:r>
              <w:rPr>
                <w:rFonts w:ascii="Calibri" w:hAnsi="Calibri"/>
                <w:sz w:val="22"/>
              </w:rPr>
              <w:t>Unchanged; Q1 delivered 70 bps YoY expansion despite revenue miss</w:t>
            </w:r>
          </w:p>
        </w:tc>
      </w:tr>
      <w:tr>
        <w:tc>
          <w:tcPr>
            <w:tcW w:type="dxa" w:w="1728"/>
          </w:tcPr>
          <w:p>
            <w:r>
              <w:rPr>
                <w:rFonts w:ascii="Calibri" w:hAnsi="Calibri"/>
                <w:sz w:val="22"/>
              </w:rPr>
              <w:t>Free Cash Flow Margin (FY 2026)</w:t>
            </w:r>
          </w:p>
        </w:tc>
        <w:tc>
          <w:tcPr>
            <w:tcW w:type="dxa" w:w="1728"/>
          </w:tcPr>
          <w:p>
            <w:r>
              <w:rPr>
                <w:rFonts w:ascii="Calibri" w:hAnsi="Calibri"/>
                <w:sz w:val="22"/>
              </w:rPr>
              <w:t>FCF margin expansion</w:t>
            </w:r>
          </w:p>
        </w:tc>
        <w:tc>
          <w:tcPr>
            <w:tcW w:type="dxa" w:w="1728"/>
          </w:tcPr>
          <w:p>
            <w:r>
              <w:rPr>
                <w:rFonts w:ascii="Calibri" w:hAnsi="Calibri"/>
                <w:sz w:val="22"/>
              </w:rPr>
              <w:t>—</w:t>
            </w:r>
          </w:p>
        </w:tc>
        <w:tc>
          <w:tcPr>
            <w:tcW w:type="dxa" w:w="1728"/>
          </w:tcPr>
          <w:p>
            <w:r>
              <w:rPr>
                <w:rFonts w:ascii="Calibri" w:hAnsi="Calibri"/>
                <w:sz w:val="22"/>
              </w:rPr>
              <w:t>~$1.68B FY consensus</w:t>
            </w:r>
          </w:p>
        </w:tc>
        <w:tc>
          <w:tcPr>
            <w:tcW w:type="dxa" w:w="1728"/>
          </w:tcPr>
          <w:p>
            <w:r>
              <w:rPr>
                <w:rFonts w:ascii="Calibri" w:hAnsi="Calibri"/>
                <w:sz w:val="22"/>
              </w:rPr>
              <w:t>Unchanged; transformation costs abating supports FCF conversion improvement</w:t>
            </w:r>
          </w:p>
        </w:tc>
      </w:tr>
      <w:tr>
        <w:tc>
          <w:tcPr>
            <w:tcW w:type="dxa" w:w="1728"/>
          </w:tcPr>
          <w:p>
            <w:r>
              <w:rPr>
                <w:rFonts w:ascii="Calibri" w:hAnsi="Calibri"/>
                <w:sz w:val="22"/>
              </w:rPr>
              <w:t>Share Repurchases (FY 2026)</w:t>
            </w:r>
          </w:p>
        </w:tc>
        <w:tc>
          <w:tcPr>
            <w:tcW w:type="dxa" w:w="1728"/>
          </w:tcPr>
          <w:p>
            <w:r>
              <w:rPr>
                <w:rFonts w:ascii="Calibri" w:hAnsi="Calibri"/>
                <w:sz w:val="22"/>
              </w:rPr>
              <w:t>At least $1B</w:t>
            </w:r>
          </w:p>
        </w:tc>
        <w:tc>
          <w:tcPr>
            <w:tcW w:type="dxa" w:w="1728"/>
          </w:tcPr>
          <w:p>
            <w:r>
              <w:rPr>
                <w:rFonts w:ascii="Calibri" w:hAnsi="Calibri"/>
                <w:sz w:val="22"/>
              </w:rPr>
              <w:t>—</w:t>
            </w:r>
          </w:p>
        </w:tc>
        <w:tc>
          <w:tcPr>
            <w:tcW w:type="dxa" w:w="1728"/>
          </w:tcPr>
          <w:p>
            <w:r>
              <w:rPr>
                <w:rFonts w:ascii="Calibri" w:hAnsi="Calibri"/>
                <w:sz w:val="22"/>
              </w:rPr>
              <w:t>N/A</w:t>
            </w:r>
          </w:p>
        </w:tc>
        <w:tc>
          <w:tcPr>
            <w:tcW w:type="dxa" w:w="1728"/>
          </w:tcPr>
          <w:p>
            <w:r>
              <w:rPr>
                <w:rFonts w:ascii="Calibri" w:hAnsi="Calibri"/>
                <w:sz w:val="22"/>
              </w:rPr>
              <w:t>Unchanged; subject to market conditions and M&amp;A opportunities</w:t>
            </w:r>
          </w:p>
        </w:tc>
      </w:tr>
      <w:tr>
        <w:tc>
          <w:tcPr>
            <w:tcW w:type="dxa" w:w="1728"/>
          </w:tcPr>
          <w:p>
            <w:r>
              <w:rPr>
                <w:rFonts w:ascii="Calibri" w:hAnsi="Calibri"/>
                <w:sz w:val="22"/>
              </w:rPr>
              <w:t>FX Impact on EPS (FY 2026)</w:t>
            </w:r>
          </w:p>
        </w:tc>
        <w:tc>
          <w:tcPr>
            <w:tcW w:type="dxa" w:w="1728"/>
          </w:tcPr>
          <w:p>
            <w:r>
              <w:rPr>
                <w:rFonts w:ascii="Calibri" w:hAnsi="Calibri"/>
                <w:sz w:val="22"/>
              </w:rPr>
              <w:t>$0.35 tailwind for full year (incremental $0.10 in remaining 3 quarters)</w:t>
            </w:r>
          </w:p>
        </w:tc>
        <w:tc>
          <w:tcPr>
            <w:tcW w:type="dxa" w:w="1728"/>
          </w:tcPr>
          <w:p>
            <w:r>
              <w:rPr>
                <w:rFonts w:ascii="Calibri" w:hAnsi="Calibri"/>
                <w:sz w:val="22"/>
              </w:rPr>
              <w:t>—</w:t>
            </w:r>
          </w:p>
        </w:tc>
        <w:tc>
          <w:tcPr>
            <w:tcW w:type="dxa" w:w="1728"/>
          </w:tcPr>
          <w:p>
            <w:r>
              <w:rPr>
                <w:rFonts w:ascii="Calibri" w:hAnsi="Calibri"/>
                <w:sz w:val="22"/>
              </w:rPr>
              <w:t>Embedded in consensus</w:t>
            </w:r>
          </w:p>
        </w:tc>
        <w:tc>
          <w:tcPr>
            <w:tcW w:type="dxa" w:w="1728"/>
          </w:tcPr>
          <w:p>
            <w:r>
              <w:rPr>
                <w:rFonts w:ascii="Calibri" w:hAnsi="Calibri"/>
                <w:sz w:val="22"/>
              </w:rPr>
              <w:t>Unchanged; based on spot rates as of Q1 call</w:t>
            </w:r>
          </w:p>
        </w:tc>
      </w:tr>
    </w:tbl>
    <w:p>
      <w:r>
        <w:br w:type="page"/>
      </w:r>
    </w:p>
    <w:p>
      <w:pPr>
        <w:pStyle w:val="Heading2"/>
      </w:pPr>
      <w:r>
        <w:rPr>
          <w:rFonts w:ascii="Calibri" w:hAnsi="Calibri"/>
          <w:b/>
          <w:color w:val="3B4259"/>
          <w:sz w:val="28"/>
        </w:rPr>
        <w:t>4. Guidance vs. Estimate Revision Tracker</w:t>
      </w:r>
    </w:p>
    <w:p>
      <w:r>
        <w:rPr>
          <w:rFonts w:ascii="Calibri" w:hAnsi="Calibri"/>
          <w:b/>
          <w:color w:val="525866"/>
          <w:sz w:val="22"/>
        </w:rPr>
        <w:t xml:space="preserve">Key Takeaway: </w:t>
      </w:r>
      <w:r>
        <w:rPr>
          <w:rFonts w:ascii="Calibri" w:hAnsi="Calibri"/>
          <w:color w:val="525866"/>
          <w:sz w:val="22"/>
        </w:rPr>
        <w:t xml:space="preserve">Estimates have drifted modestly lower since the Q1 print — Q2 organic growth consensus is ~3.9% vs. ~3.9% at the post-Q1 baseline, while FY 2026 EPS has edged down slightly — suggesting the Street has largely absorbed the guidance reset but has not yet re-rated higher on the April recovery signal; </w:t>
      </w:r>
    </w:p>
    <w:p>
      <w:r>
        <w:rPr>
          <w:rFonts w:ascii="Calibri" w:hAnsi="Calibri"/>
          <w:b/>
          <w:color w:val="525866"/>
          <w:sz w:val="22"/>
        </w:rPr>
        <w:t>the gap between consensus and guidance is a modest cushion, not a risk</w:t>
      </w:r>
      <w:r>
        <w:rPr>
          <w:rFonts w:ascii="Calibri" w:hAnsi="Calibri"/>
          <w:color w:val="525866"/>
          <w:sz w:val="22"/>
        </w:rPr>
        <w:t>, as long as CRB re-acceleration holds.</w:t>
      </w:r>
    </w:p>
    <w:tbl>
      <w:tblPr>
        <w:tblStyle w:val="TableGrid"/>
        <w:tblW w:type="auto" w:w="0"/>
        <w:tblLook w:firstColumn="1" w:firstRow="1" w:lastColumn="0" w:lastRow="0" w:noHBand="0" w:noVBand="1" w:val="04A0"/>
      </w:tblPr>
      <w:tblGrid>
        <w:gridCol w:w="1234"/>
        <w:gridCol w:w="1234"/>
        <w:gridCol w:w="1234"/>
        <w:gridCol w:w="1234"/>
        <w:gridCol w:w="1234"/>
        <w:gridCol w:w="1234"/>
        <w:gridCol w:w="1234"/>
      </w:tblGrid>
      <w:tr>
        <w:tc>
          <w:tcPr>
            <w:tcW w:type="dxa" w:w="1234"/>
            <w:shd w:val="clear" w:color="auto" w:fill="3B4259"/>
          </w:tcPr>
          <w:p>
            <w:r>
              <w:rPr>
                <w:rFonts w:ascii="Calibri" w:hAnsi="Calibri"/>
                <w:b/>
                <w:color w:val="FFFFFF"/>
                <w:sz w:val="22"/>
              </w:rPr>
              <w:t>KPI (Period)</w:t>
            </w:r>
          </w:p>
        </w:tc>
        <w:tc>
          <w:tcPr>
            <w:tcW w:type="dxa" w:w="1234"/>
            <w:shd w:val="clear" w:color="auto" w:fill="3B4259"/>
          </w:tcPr>
          <w:p>
            <w:r>
              <w:rPr>
                <w:rFonts w:ascii="Calibri" w:hAnsi="Calibri"/>
                <w:b/>
                <w:color w:val="FFFFFF"/>
                <w:sz w:val="22"/>
              </w:rPr>
              <w:t>Estimate ~5 Days Post Q1 Earnings (May 5, 2026)</w:t>
            </w:r>
          </w:p>
        </w:tc>
        <w:tc>
          <w:tcPr>
            <w:tcW w:type="dxa" w:w="1234"/>
            <w:shd w:val="clear" w:color="auto" w:fill="3B4259"/>
          </w:tcPr>
          <w:p>
            <w:r>
              <w:rPr>
                <w:rFonts w:ascii="Calibri" w:hAnsi="Calibri"/>
                <w:b/>
                <w:color w:val="FFFFFF"/>
                <w:sz w:val="22"/>
              </w:rPr>
              <w:t>Current Consensus (Jul 29, 2026)</w:t>
            </w:r>
          </w:p>
        </w:tc>
        <w:tc>
          <w:tcPr>
            <w:tcW w:type="dxa" w:w="1234"/>
            <w:shd w:val="clear" w:color="auto" w:fill="3B4259"/>
          </w:tcPr>
          <w:p>
            <w:r>
              <w:rPr>
                <w:rFonts w:ascii="Calibri" w:hAnsi="Calibri"/>
                <w:b/>
                <w:color w:val="FFFFFF"/>
                <w:sz w:val="22"/>
              </w:rPr>
              <w:t>Estimate Δ (%)</w:t>
            </w:r>
          </w:p>
        </w:tc>
        <w:tc>
          <w:tcPr>
            <w:tcW w:type="dxa" w:w="1234"/>
            <w:shd w:val="clear" w:color="auto" w:fill="3B4259"/>
          </w:tcPr>
          <w:p>
            <w:r>
              <w:rPr>
                <w:rFonts w:ascii="Calibri" w:hAnsi="Calibri"/>
                <w:b/>
                <w:color w:val="FFFFFF"/>
                <w:sz w:val="22"/>
              </w:rPr>
              <w:t>Initial Guidance (Q1 Call)</w:t>
            </w:r>
          </w:p>
        </w:tc>
        <w:tc>
          <w:tcPr>
            <w:tcW w:type="dxa" w:w="1234"/>
            <w:shd w:val="clear" w:color="auto" w:fill="3B4259"/>
          </w:tcPr>
          <w:p>
            <w:r>
              <w:rPr>
                <w:rFonts w:ascii="Calibri" w:hAnsi="Calibri"/>
                <w:b/>
                <w:color w:val="FFFFFF"/>
                <w:sz w:val="22"/>
              </w:rPr>
              <w:t>Current Guidance</w:t>
            </w:r>
          </w:p>
        </w:tc>
        <w:tc>
          <w:tcPr>
            <w:tcW w:type="dxa" w:w="1234"/>
            <w:shd w:val="clear" w:color="auto" w:fill="3B4259"/>
          </w:tcPr>
          <w:p>
            <w:r>
              <w:rPr>
                <w:rFonts w:ascii="Calibri" w:hAnsi="Calibri"/>
                <w:b/>
                <w:color w:val="FFFFFF"/>
                <w:sz w:val="22"/>
              </w:rPr>
              <w:t>Consensus vs. Guidance</w:t>
            </w:r>
          </w:p>
        </w:tc>
      </w:tr>
      <w:tr>
        <w:tc>
          <w:tcPr>
            <w:tcW w:type="dxa" w:w="1234"/>
          </w:tcPr>
          <w:p>
            <w:r>
              <w:rPr>
                <w:rFonts w:ascii="Calibri" w:hAnsi="Calibri"/>
                <w:sz w:val="22"/>
              </w:rPr>
              <w:t>Organic Revenue Growth — Q2 2026</w:t>
            </w:r>
          </w:p>
        </w:tc>
        <w:tc>
          <w:tcPr>
            <w:tcW w:type="dxa" w:w="1234"/>
          </w:tcPr>
          <w:p>
            <w:r>
              <w:rPr>
                <w:rFonts w:ascii="Calibri" w:hAnsi="Calibri"/>
                <w:sz w:val="22"/>
              </w:rPr>
              <w:t>~3.90%</w:t>
            </w:r>
          </w:p>
        </w:tc>
        <w:tc>
          <w:tcPr>
            <w:tcW w:type="dxa" w:w="1234"/>
          </w:tcPr>
          <w:p>
            <w:r>
              <w:rPr>
                <w:rFonts w:ascii="Calibri" w:hAnsi="Calibri"/>
                <w:sz w:val="22"/>
              </w:rPr>
              <w:t>~3.72%</w:t>
            </w:r>
          </w:p>
        </w:tc>
        <w:tc>
          <w:tcPr>
            <w:tcW w:type="dxa" w:w="1234"/>
          </w:tcPr>
          <w:p>
            <w:r>
              <w:rPr>
                <w:rFonts w:ascii="Calibri" w:hAnsi="Calibri"/>
                <w:sz w:val="22"/>
              </w:rPr>
              <w:t>-18 bps</w:t>
            </w:r>
          </w:p>
        </w:tc>
        <w:tc>
          <w:tcPr>
            <w:tcW w:type="dxa" w:w="1234"/>
          </w:tcPr>
          <w:p>
            <w:r>
              <w:rPr>
                <w:rFonts w:ascii="Calibri" w:hAnsi="Calibri"/>
                <w:sz w:val="22"/>
              </w:rPr>
              <w:t>Mid-single digits (FY)</w:t>
            </w:r>
          </w:p>
        </w:tc>
        <w:tc>
          <w:tcPr>
            <w:tcW w:type="dxa" w:w="1234"/>
          </w:tcPr>
          <w:p>
            <w:r>
              <w:rPr>
                <w:rFonts w:ascii="Calibri" w:hAnsi="Calibri"/>
                <w:sz w:val="22"/>
              </w:rPr>
              <w:t>Mid-single digits (FY)</w:t>
            </w:r>
          </w:p>
        </w:tc>
        <w:tc>
          <w:tcPr>
            <w:tcW w:type="dxa" w:w="1234"/>
          </w:tcPr>
          <w:p>
            <w:r>
              <w:rPr>
                <w:rFonts w:ascii="Calibri" w:hAnsi="Calibri"/>
                <w:sz w:val="22"/>
              </w:rPr>
              <w:t>Slightly below mid-point</w:t>
            </w:r>
          </w:p>
        </w:tc>
      </w:tr>
      <w:tr>
        <w:tc>
          <w:tcPr>
            <w:tcW w:type="dxa" w:w="1234"/>
          </w:tcPr>
          <w:p>
            <w:r>
              <w:rPr>
                <w:rFonts w:ascii="Calibri" w:hAnsi="Calibri"/>
                <w:sz w:val="22"/>
              </w:rPr>
              <w:t>Organic Revenue Growth — FY 2026</w:t>
            </w:r>
          </w:p>
        </w:tc>
        <w:tc>
          <w:tcPr>
            <w:tcW w:type="dxa" w:w="1234"/>
          </w:tcPr>
          <w:p>
            <w:r>
              <w:rPr>
                <w:rFonts w:ascii="Calibri" w:hAnsi="Calibri"/>
                <w:sz w:val="22"/>
              </w:rPr>
              <w:t>~3.88%</w:t>
            </w:r>
          </w:p>
        </w:tc>
        <w:tc>
          <w:tcPr>
            <w:tcW w:type="dxa" w:w="1234"/>
          </w:tcPr>
          <w:p>
            <w:r>
              <w:rPr>
                <w:rFonts w:ascii="Calibri" w:hAnsi="Calibri"/>
                <w:sz w:val="22"/>
              </w:rPr>
              <w:t>~4.04%</w:t>
            </w:r>
          </w:p>
        </w:tc>
        <w:tc>
          <w:tcPr>
            <w:tcW w:type="dxa" w:w="1234"/>
          </w:tcPr>
          <w:p>
            <w:r>
              <w:rPr>
                <w:rFonts w:ascii="Calibri" w:hAnsi="Calibri"/>
                <w:sz w:val="22"/>
              </w:rPr>
              <w:t>+16 bps</w:t>
            </w:r>
          </w:p>
        </w:tc>
        <w:tc>
          <w:tcPr>
            <w:tcW w:type="dxa" w:w="1234"/>
          </w:tcPr>
          <w:p>
            <w:r>
              <w:rPr>
                <w:rFonts w:ascii="Calibri" w:hAnsi="Calibri"/>
                <w:sz w:val="22"/>
              </w:rPr>
              <w:t>Mid-single digits</w:t>
            </w:r>
          </w:p>
        </w:tc>
        <w:tc>
          <w:tcPr>
            <w:tcW w:type="dxa" w:w="1234"/>
          </w:tcPr>
          <w:p>
            <w:r>
              <w:rPr>
                <w:rFonts w:ascii="Calibri" w:hAnsi="Calibri"/>
                <w:sz w:val="22"/>
              </w:rPr>
              <w:t>Mid-single digits</w:t>
            </w:r>
          </w:p>
        </w:tc>
        <w:tc>
          <w:tcPr>
            <w:tcW w:type="dxa" w:w="1234"/>
          </w:tcPr>
          <w:p>
            <w:r>
              <w:rPr>
                <w:rFonts w:ascii="Calibri" w:hAnsi="Calibri"/>
                <w:sz w:val="22"/>
              </w:rPr>
              <w:t>At low end of range</w:t>
            </w:r>
          </w:p>
        </w:tc>
      </w:tr>
      <w:tr>
        <w:tc>
          <w:tcPr>
            <w:tcW w:type="dxa" w:w="1234"/>
          </w:tcPr>
          <w:p>
            <w:r>
              <w:rPr>
                <w:rFonts w:ascii="Calibri" w:hAnsi="Calibri"/>
                <w:sz w:val="22"/>
              </w:rPr>
              <w:t>R&amp;B Organic Growth — Q2 2026</w:t>
            </w:r>
          </w:p>
        </w:tc>
        <w:tc>
          <w:tcPr>
            <w:tcW w:type="dxa" w:w="1234"/>
          </w:tcPr>
          <w:p>
            <w:r>
              <w:rPr>
                <w:rFonts w:ascii="Calibri" w:hAnsi="Calibri"/>
                <w:sz w:val="22"/>
              </w:rPr>
              <w:t>~3.99%</w:t>
            </w:r>
          </w:p>
        </w:tc>
        <w:tc>
          <w:tcPr>
            <w:tcW w:type="dxa" w:w="1234"/>
          </w:tcPr>
          <w:p>
            <w:r>
              <w:rPr>
                <w:rFonts w:ascii="Calibri" w:hAnsi="Calibri"/>
                <w:sz w:val="22"/>
              </w:rPr>
              <w:t>~3.83%</w:t>
            </w:r>
          </w:p>
        </w:tc>
        <w:tc>
          <w:tcPr>
            <w:tcW w:type="dxa" w:w="1234"/>
          </w:tcPr>
          <w:p>
            <w:r>
              <w:rPr>
                <w:rFonts w:ascii="Calibri" w:hAnsi="Calibri"/>
                <w:sz w:val="22"/>
              </w:rPr>
              <w:t>-16 bps</w:t>
            </w:r>
          </w:p>
        </w:tc>
        <w:tc>
          <w:tcPr>
            <w:tcW w:type="dxa" w:w="1234"/>
          </w:tcPr>
          <w:p>
            <w:r>
              <w:rPr>
                <w:rFonts w:ascii="Calibri" w:hAnsi="Calibri"/>
                <w:sz w:val="22"/>
              </w:rPr>
              <w:t>Mid-single digits (FY)</w:t>
            </w:r>
          </w:p>
        </w:tc>
        <w:tc>
          <w:tcPr>
            <w:tcW w:type="dxa" w:w="1234"/>
          </w:tcPr>
          <w:p>
            <w:r>
              <w:rPr>
                <w:rFonts w:ascii="Calibri" w:hAnsi="Calibri"/>
                <w:sz w:val="22"/>
              </w:rPr>
              <w:t>Mid-single digits (FY)</w:t>
            </w:r>
          </w:p>
        </w:tc>
        <w:tc>
          <w:tcPr>
            <w:tcW w:type="dxa" w:w="1234"/>
          </w:tcPr>
          <w:p>
            <w:r>
              <w:rPr>
                <w:rFonts w:ascii="Calibri" w:hAnsi="Calibri"/>
                <w:sz w:val="22"/>
              </w:rPr>
              <w:t>Slightly below mid-point</w:t>
            </w:r>
          </w:p>
        </w:tc>
      </w:tr>
      <w:tr>
        <w:tc>
          <w:tcPr>
            <w:tcW w:type="dxa" w:w="1234"/>
          </w:tcPr>
          <w:p>
            <w:r>
              <w:rPr>
                <w:rFonts w:ascii="Calibri" w:hAnsi="Calibri"/>
                <w:sz w:val="22"/>
              </w:rPr>
              <w:t>R&amp;B Organic Growth — FY 2026</w:t>
            </w:r>
          </w:p>
        </w:tc>
        <w:tc>
          <w:tcPr>
            <w:tcW w:type="dxa" w:w="1234"/>
          </w:tcPr>
          <w:p>
            <w:r>
              <w:rPr>
                <w:rFonts w:ascii="Calibri" w:hAnsi="Calibri"/>
                <w:sz w:val="22"/>
              </w:rPr>
              <w:t>~3.69%</w:t>
            </w:r>
          </w:p>
        </w:tc>
        <w:tc>
          <w:tcPr>
            <w:tcW w:type="dxa" w:w="1234"/>
          </w:tcPr>
          <w:p>
            <w:r>
              <w:rPr>
                <w:rFonts w:ascii="Calibri" w:hAnsi="Calibri"/>
                <w:sz w:val="22"/>
              </w:rPr>
              <w:t>~3.63%</w:t>
            </w:r>
          </w:p>
        </w:tc>
        <w:tc>
          <w:tcPr>
            <w:tcW w:type="dxa" w:w="1234"/>
          </w:tcPr>
          <w:p>
            <w:r>
              <w:rPr>
                <w:rFonts w:ascii="Calibri" w:hAnsi="Calibri"/>
                <w:sz w:val="22"/>
              </w:rPr>
              <w:t>-6 bps</w:t>
            </w:r>
          </w:p>
        </w:tc>
        <w:tc>
          <w:tcPr>
            <w:tcW w:type="dxa" w:w="1234"/>
          </w:tcPr>
          <w:p>
            <w:r>
              <w:rPr>
                <w:rFonts w:ascii="Calibri" w:hAnsi="Calibri"/>
                <w:sz w:val="22"/>
              </w:rPr>
              <w:t>Mid-single digits</w:t>
            </w:r>
          </w:p>
        </w:tc>
        <w:tc>
          <w:tcPr>
            <w:tcW w:type="dxa" w:w="1234"/>
          </w:tcPr>
          <w:p>
            <w:r>
              <w:rPr>
                <w:rFonts w:ascii="Calibri" w:hAnsi="Calibri"/>
                <w:sz w:val="22"/>
              </w:rPr>
              <w:t>Mid-single digits</w:t>
            </w:r>
          </w:p>
        </w:tc>
        <w:tc>
          <w:tcPr>
            <w:tcW w:type="dxa" w:w="1234"/>
          </w:tcPr>
          <w:p>
            <w:r>
              <w:rPr>
                <w:rFonts w:ascii="Calibri" w:hAnsi="Calibri"/>
                <w:sz w:val="22"/>
              </w:rPr>
              <w:t>At low end of range</w:t>
            </w:r>
          </w:p>
        </w:tc>
      </w:tr>
      <w:tr>
        <w:tc>
          <w:tcPr>
            <w:tcW w:type="dxa" w:w="1234"/>
          </w:tcPr>
          <w:p>
            <w:r>
              <w:rPr>
                <w:rFonts w:ascii="Calibri" w:hAnsi="Calibri"/>
                <w:sz w:val="22"/>
              </w:rPr>
              <w:t>HWC Organic Growth — Q2 2026</w:t>
            </w:r>
          </w:p>
        </w:tc>
        <w:tc>
          <w:tcPr>
            <w:tcW w:type="dxa" w:w="1234"/>
          </w:tcPr>
          <w:p>
            <w:r>
              <w:rPr>
                <w:rFonts w:ascii="Calibri" w:hAnsi="Calibri"/>
                <w:sz w:val="22"/>
              </w:rPr>
              <w:t>~3.57%</w:t>
            </w:r>
          </w:p>
        </w:tc>
        <w:tc>
          <w:tcPr>
            <w:tcW w:type="dxa" w:w="1234"/>
          </w:tcPr>
          <w:p>
            <w:r>
              <w:rPr>
                <w:rFonts w:ascii="Calibri" w:hAnsi="Calibri"/>
                <w:sz w:val="22"/>
              </w:rPr>
              <w:t>~3.54%</w:t>
            </w:r>
          </w:p>
        </w:tc>
        <w:tc>
          <w:tcPr>
            <w:tcW w:type="dxa" w:w="1234"/>
          </w:tcPr>
          <w:p>
            <w:r>
              <w:rPr>
                <w:rFonts w:ascii="Calibri" w:hAnsi="Calibri"/>
                <w:sz w:val="22"/>
              </w:rPr>
              <w:t>-3 bps</w:t>
            </w:r>
          </w:p>
        </w:tc>
        <w:tc>
          <w:tcPr>
            <w:tcW w:type="dxa" w:w="1234"/>
          </w:tcPr>
          <w:p>
            <w:r>
              <w:rPr>
                <w:rFonts w:ascii="Calibri" w:hAnsi="Calibri"/>
                <w:sz w:val="22"/>
              </w:rPr>
              <w:t>Mid-single digits (FY)</w:t>
            </w:r>
          </w:p>
        </w:tc>
        <w:tc>
          <w:tcPr>
            <w:tcW w:type="dxa" w:w="1234"/>
          </w:tcPr>
          <w:p>
            <w:r>
              <w:rPr>
                <w:rFonts w:ascii="Calibri" w:hAnsi="Calibri"/>
                <w:sz w:val="22"/>
              </w:rPr>
              <w:t>Mid-single digits (FY)</w:t>
            </w:r>
          </w:p>
        </w:tc>
        <w:tc>
          <w:tcPr>
            <w:tcW w:type="dxa" w:w="1234"/>
          </w:tcPr>
          <w:p>
            <w:r>
              <w:rPr>
                <w:rFonts w:ascii="Calibri" w:hAnsi="Calibri"/>
                <w:sz w:val="22"/>
              </w:rPr>
              <w:t>Slightly below mid-point</w:t>
            </w:r>
          </w:p>
        </w:tc>
      </w:tr>
      <w:tr>
        <w:tc>
          <w:tcPr>
            <w:tcW w:type="dxa" w:w="1234"/>
          </w:tcPr>
          <w:p>
            <w:r>
              <w:rPr>
                <w:rFonts w:ascii="Calibri" w:hAnsi="Calibri"/>
                <w:sz w:val="22"/>
              </w:rPr>
              <w:t>Adj. EPS — Q2 2026</w:t>
            </w:r>
          </w:p>
        </w:tc>
        <w:tc>
          <w:tcPr>
            <w:tcW w:type="dxa" w:w="1234"/>
          </w:tcPr>
          <w:p>
            <w:r>
              <w:rPr>
                <w:rFonts w:ascii="Calibri" w:hAnsi="Calibri"/>
                <w:sz w:val="22"/>
              </w:rPr>
              <w:t>$3.11</w:t>
            </w:r>
          </w:p>
        </w:tc>
        <w:tc>
          <w:tcPr>
            <w:tcW w:type="dxa" w:w="1234"/>
          </w:tcPr>
          <w:p>
            <w:r>
              <w:rPr>
                <w:rFonts w:ascii="Calibri" w:hAnsi="Calibri"/>
                <w:sz w:val="22"/>
              </w:rPr>
              <w:t>$3.11</w:t>
            </w:r>
          </w:p>
        </w:tc>
        <w:tc>
          <w:tcPr>
            <w:tcW w:type="dxa" w:w="1234"/>
          </w:tcPr>
          <w:p>
            <w:r>
              <w:rPr>
                <w:rFonts w:ascii="Calibri" w:hAnsi="Calibri"/>
                <w:sz w:val="22"/>
              </w:rPr>
              <w:t>Flat</w:t>
            </w:r>
          </w:p>
        </w:tc>
        <w:tc>
          <w:tcPr>
            <w:tcW w:type="dxa" w:w="1234"/>
          </w:tcPr>
          <w:p>
            <w:r>
              <w:rPr>
                <w:rFonts w:ascii="Calibri" w:hAnsi="Calibri"/>
                <w:sz w:val="22"/>
              </w:rPr>
              <w:t>N/A (no quarterly EPS guidance)</w:t>
            </w:r>
          </w:p>
        </w:tc>
        <w:tc>
          <w:tcPr>
            <w:tcW w:type="dxa" w:w="1234"/>
          </w:tcPr>
          <w:p>
            <w:r>
              <w:rPr>
                <w:rFonts w:ascii="Calibri" w:hAnsi="Calibri"/>
                <w:sz w:val="22"/>
              </w:rPr>
              <w:t>N/A</w:t>
            </w:r>
          </w:p>
        </w:tc>
        <w:tc>
          <w:tcPr>
            <w:tcW w:type="dxa" w:w="1234"/>
          </w:tcPr>
          <w:p>
            <w:r>
              <w:rPr>
                <w:rFonts w:ascii="Calibri" w:hAnsi="Calibri"/>
                <w:sz w:val="22"/>
              </w:rPr>
              <w:t>N/A</w:t>
            </w:r>
          </w:p>
        </w:tc>
      </w:tr>
      <w:tr>
        <w:tc>
          <w:tcPr>
            <w:tcW w:type="dxa" w:w="1234"/>
          </w:tcPr>
          <w:p>
            <w:r>
              <w:rPr>
                <w:rFonts w:ascii="Calibri" w:hAnsi="Calibri"/>
                <w:sz w:val="22"/>
              </w:rPr>
              <w:t>Adj. EPS — FY 2026</w:t>
            </w:r>
          </w:p>
        </w:tc>
        <w:tc>
          <w:tcPr>
            <w:tcW w:type="dxa" w:w="1234"/>
          </w:tcPr>
          <w:p>
            <w:r>
              <w:rPr>
                <w:rFonts w:ascii="Calibri" w:hAnsi="Calibri"/>
                <w:sz w:val="22"/>
              </w:rPr>
              <w:t>$19.55</w:t>
            </w:r>
          </w:p>
        </w:tc>
        <w:tc>
          <w:tcPr>
            <w:tcW w:type="dxa" w:w="1234"/>
          </w:tcPr>
          <w:p>
            <w:r>
              <w:rPr>
                <w:rFonts w:ascii="Calibri" w:hAnsi="Calibri"/>
                <w:sz w:val="22"/>
              </w:rPr>
              <w:t>$19.54</w:t>
            </w:r>
          </w:p>
        </w:tc>
        <w:tc>
          <w:tcPr>
            <w:tcW w:type="dxa" w:w="1234"/>
          </w:tcPr>
          <w:p>
            <w:r>
              <w:rPr>
                <w:rFonts w:ascii="Calibri" w:hAnsi="Calibri"/>
                <w:sz w:val="22"/>
              </w:rPr>
              <w:t>-0.1%</w:t>
            </w:r>
          </w:p>
        </w:tc>
        <w:tc>
          <w:tcPr>
            <w:tcW w:type="dxa" w:w="1234"/>
          </w:tcPr>
          <w:p>
            <w:r>
              <w:rPr>
                <w:rFonts w:ascii="Calibri" w:hAnsi="Calibri"/>
                <w:sz w:val="22"/>
              </w:rPr>
              <w:t>N/A (no EPS guidance)</w:t>
            </w:r>
          </w:p>
        </w:tc>
        <w:tc>
          <w:tcPr>
            <w:tcW w:type="dxa" w:w="1234"/>
          </w:tcPr>
          <w:p>
            <w:r>
              <w:rPr>
                <w:rFonts w:ascii="Calibri" w:hAnsi="Calibri"/>
                <w:sz w:val="22"/>
              </w:rPr>
              <w:t>N/A</w:t>
            </w:r>
          </w:p>
        </w:tc>
        <w:tc>
          <w:tcPr>
            <w:tcW w:type="dxa" w:w="1234"/>
          </w:tcPr>
          <w:p>
            <w:r>
              <w:rPr>
                <w:rFonts w:ascii="Calibri" w:hAnsi="Calibri"/>
                <w:sz w:val="22"/>
              </w:rPr>
              <w:t>N/A</w:t>
            </w:r>
          </w:p>
        </w:tc>
      </w:tr>
      <w:tr>
        <w:tc>
          <w:tcPr>
            <w:tcW w:type="dxa" w:w="1234"/>
          </w:tcPr>
          <w:p>
            <w:r>
              <w:rPr>
                <w:rFonts w:ascii="Calibri" w:hAnsi="Calibri"/>
                <w:sz w:val="22"/>
              </w:rPr>
              <w:t>Adj. Operating Income — Q2 2026</w:t>
            </w:r>
          </w:p>
        </w:tc>
        <w:tc>
          <w:tcPr>
            <w:tcW w:type="dxa" w:w="1234"/>
          </w:tcPr>
          <w:p>
            <w:r>
              <w:rPr>
                <w:rFonts w:ascii="Calibri" w:hAnsi="Calibri"/>
                <w:sz w:val="22"/>
              </w:rPr>
              <w:t>$466.6M</w:t>
            </w:r>
          </w:p>
        </w:tc>
        <w:tc>
          <w:tcPr>
            <w:tcW w:type="dxa" w:w="1234"/>
          </w:tcPr>
          <w:p>
            <w:r>
              <w:rPr>
                <w:rFonts w:ascii="Calibri" w:hAnsi="Calibri"/>
                <w:sz w:val="22"/>
              </w:rPr>
              <w:t>$466.6M</w:t>
            </w:r>
          </w:p>
        </w:tc>
        <w:tc>
          <w:tcPr>
            <w:tcW w:type="dxa" w:w="1234"/>
          </w:tcPr>
          <w:p>
            <w:r>
              <w:rPr>
                <w:rFonts w:ascii="Calibri" w:hAnsi="Calibri"/>
                <w:sz w:val="22"/>
              </w:rPr>
              <w:t>Flat</w:t>
            </w:r>
          </w:p>
        </w:tc>
        <w:tc>
          <w:tcPr>
            <w:tcW w:type="dxa" w:w="1234"/>
          </w:tcPr>
          <w:p>
            <w:r>
              <w:rPr>
                <w:rFonts w:ascii="Calibri" w:hAnsi="Calibri"/>
                <w:sz w:val="22"/>
              </w:rPr>
              <w:t>Continued margin expansion</w:t>
            </w:r>
          </w:p>
        </w:tc>
        <w:tc>
          <w:tcPr>
            <w:tcW w:type="dxa" w:w="1234"/>
          </w:tcPr>
          <w:p>
            <w:r>
              <w:rPr>
                <w:rFonts w:ascii="Calibri" w:hAnsi="Calibri"/>
                <w:sz w:val="22"/>
              </w:rPr>
              <w:t>Continued margin expansion</w:t>
            </w:r>
          </w:p>
        </w:tc>
        <w:tc>
          <w:tcPr>
            <w:tcW w:type="dxa" w:w="1234"/>
          </w:tcPr>
          <w:p>
            <w:r>
              <w:rPr>
                <w:rFonts w:ascii="Calibri" w:hAnsi="Calibri"/>
                <w:sz w:val="22"/>
              </w:rPr>
              <w:t>In line</w:t>
            </w:r>
          </w:p>
        </w:tc>
      </w:tr>
      <w:tr>
        <w:tc>
          <w:tcPr>
            <w:tcW w:type="dxa" w:w="1234"/>
          </w:tcPr>
          <w:p>
            <w:r>
              <w:rPr>
                <w:rFonts w:ascii="Calibri" w:hAnsi="Calibri"/>
                <w:sz w:val="22"/>
              </w:rPr>
              <w:t>Free Cash Flow — FY 2026</w:t>
            </w:r>
          </w:p>
        </w:tc>
        <w:tc>
          <w:tcPr>
            <w:tcW w:type="dxa" w:w="1234"/>
          </w:tcPr>
          <w:p>
            <w:r>
              <w:rPr>
                <w:rFonts w:ascii="Calibri" w:hAnsi="Calibri"/>
                <w:sz w:val="22"/>
              </w:rPr>
              <w:t>$1,712M</w:t>
            </w:r>
          </w:p>
        </w:tc>
        <w:tc>
          <w:tcPr>
            <w:tcW w:type="dxa" w:w="1234"/>
          </w:tcPr>
          <w:p>
            <w:r>
              <w:rPr>
                <w:rFonts w:ascii="Calibri" w:hAnsi="Calibri"/>
                <w:sz w:val="22"/>
              </w:rPr>
              <w:t>$1,680M</w:t>
            </w:r>
          </w:p>
        </w:tc>
        <w:tc>
          <w:tcPr>
            <w:tcW w:type="dxa" w:w="1234"/>
          </w:tcPr>
          <w:p>
            <w:r>
              <w:rPr>
                <w:rFonts w:ascii="Calibri" w:hAnsi="Calibri"/>
                <w:sz w:val="22"/>
              </w:rPr>
              <w:t>-1.9%</w:t>
            </w:r>
          </w:p>
        </w:tc>
        <w:tc>
          <w:tcPr>
            <w:tcW w:type="dxa" w:w="1234"/>
          </w:tcPr>
          <w:p>
            <w:r>
              <w:rPr>
                <w:rFonts w:ascii="Calibri" w:hAnsi="Calibri"/>
                <w:sz w:val="22"/>
              </w:rPr>
              <w:t>FCF margin expansion</w:t>
            </w:r>
          </w:p>
        </w:tc>
        <w:tc>
          <w:tcPr>
            <w:tcW w:type="dxa" w:w="1234"/>
          </w:tcPr>
          <w:p>
            <w:r>
              <w:rPr>
                <w:rFonts w:ascii="Calibri" w:hAnsi="Calibri"/>
                <w:sz w:val="22"/>
              </w:rPr>
              <w:t>FCF margin expansion</w:t>
            </w:r>
          </w:p>
        </w:tc>
        <w:tc>
          <w:tcPr>
            <w:tcW w:type="dxa" w:w="1234"/>
          </w:tcPr>
          <w:p>
            <w:r>
              <w:rPr>
                <w:rFonts w:ascii="Calibri" w:hAnsi="Calibri"/>
                <w:sz w:val="22"/>
              </w:rPr>
              <w:t>In line with guidance</w:t>
            </w:r>
          </w:p>
        </w:tc>
      </w:tr>
    </w:tbl>
    <w:p>
      <w:r>
        <w:rPr>
          <w:rFonts w:ascii="Calibri" w:hAnsi="Calibri"/>
          <w:i/>
          <w:color w:val="525866"/>
          <w:sz w:val="22"/>
        </w:rPr>
        <w:t>Source: Visible Alpha Consensus and Actuals Data.</w:t>
      </w:r>
      <w:r>
        <w:rPr>
          <w:rFonts w:ascii="Calibri" w:hAnsi="Calibri"/>
          <w:color w:val="525866"/>
          <w:sz w:val="22"/>
        </w:rPr>
        <w:t xml:space="preserve"> Estimates have been remarkably stable since the Q1 print — the Street has absorbed the guidance reset without further meaningful downward revision, suggesting the April recovery signal from management was credible enough to arrest the downward drift. The key risk is that Q2 consensus for R&amp;B organic growth (~3.8%) is already below the "mid-single digit or better" April signal, meaning any shortfall would be a second consecutive negative surprise.</w:t>
      </w:r>
    </w:p>
    <w:p>
      <w:r>
        <w:br w:type="page"/>
      </w:r>
    </w:p>
    <w:p>
      <w:pPr>
        <w:pStyle w:val="Heading2"/>
      </w:pPr>
      <w:r>
        <w:rPr>
          <w:rFonts w:ascii="Calibri" w:hAnsi="Calibri"/>
          <w:b/>
          <w:color w:val="3B4259"/>
          <w:sz w:val="28"/>
        </w:rPr>
        <w:t>5. Stock Performance</w:t>
      </w:r>
    </w:p>
    <w:p>
      <w:r>
        <w:rPr>
          <w:rFonts w:ascii="Calibri" w:hAnsi="Calibri"/>
          <w:b/>
          <w:color w:val="525866"/>
          <w:sz w:val="22"/>
        </w:rPr>
        <w:t xml:space="preserve">Key Takeaway: </w:t>
      </w:r>
      <w:r>
        <w:rPr>
          <w:rFonts w:ascii="Calibri" w:hAnsi="Calibri"/>
          <w:color w:val="525866"/>
          <w:sz w:val="22"/>
        </w:rPr>
        <w:t xml:space="preserve">WTW has recovered sharply (+23.4%) since the Q1 earnings sell-off, significantly outperforming the S&amp;P 500 (+3.1%) over the same period; the recovery appears driven by </w:t>
      </w:r>
    </w:p>
    <w:p>
      <w:r>
        <w:rPr>
          <w:rFonts w:ascii="Calibri" w:hAnsi="Calibri"/>
          <w:b/>
          <w:color w:val="525866"/>
          <w:sz w:val="22"/>
        </w:rPr>
        <w:t>sentiment re-rating and insider buying signals</w:t>
      </w:r>
      <w:r>
        <w:rPr>
          <w:rFonts w:ascii="Calibri" w:hAnsi="Calibri"/>
          <w:color w:val="525866"/>
          <w:sz w:val="22"/>
        </w:rPr>
        <w:t xml:space="preserve"> rather than estimate revisions (which have been flat), suggesting the stock has partially priced in a Q2 recovery but is not yet pricing in a full re-acceleration.</w:t>
      </w:r>
    </w:p>
    <w:p>
      <w:r>
        <w:rPr>
          <w:rFonts w:ascii="Calibri" w:hAnsi="Calibri"/>
          <w:i/>
          <w:color w:val="525866"/>
          <w:sz w:val="22"/>
        </w:rPr>
        <w:t>Sector ETF: SPY (S&amp;P 500) used as market benchmark. WTW is a diversified insurance broker/consultant; the most relevant sector ETF would be KIE (Insurance) or IAK, but SPY is used here for broad market comparison as requested. WTW has significantly outperformed the market since Q1 earnings, recovering from a near two-year low of ~$242 (mid-May) to ~$316 as of July 28, 2026.</w:t>
      </w:r>
    </w:p>
    <w:p>
      <w:r>
        <w:drawing>
          <wp:inline xmlns:a="http://schemas.openxmlformats.org/drawingml/2006/main" xmlns:pic="http://schemas.openxmlformats.org/drawingml/2006/picture">
            <wp:extent cx="5943600" cy="4245429"/>
            <wp:docPr id="1" name="Picture 1"/>
            <wp:cNvGraphicFramePr>
              <a:graphicFrameLocks noChangeAspect="1"/>
            </wp:cNvGraphicFramePr>
            <a:graphic>
              <a:graphicData uri="http://schemas.openxmlformats.org/drawingml/2006/picture">
                <pic:pic>
                  <pic:nvPicPr>
                    <pic:cNvPr id="0" name="image.png"/>
                    <pic:cNvPicPr/>
                  </pic:nvPicPr>
                  <pic:blipFill>
                    <a:blip r:embed="rId9"/>
                    <a:stretch>
                      <a:fillRect/>
                    </a:stretch>
                  </pic:blipFill>
                  <pic:spPr>
                    <a:xfrm>
                      <a:off x="0" y="0"/>
                      <a:ext cx="5943600" cy="4245429"/>
                    </a:xfrm>
                    <a:prstGeom prst="rect"/>
                  </pic:spPr>
                </pic:pic>
              </a:graphicData>
            </a:graphic>
          </wp:inline>
        </w:drawing>
      </w:r>
    </w:p>
    <w:p>
      <w:pPr>
        <w:jc w:val="center"/>
      </w:pPr>
      <w:r>
        <w:rPr>
          <w:i/>
          <w:color w:val="666666"/>
          <w:sz w:val="18"/>
        </w:rPr>
        <w:t>WTW vs. S&amp;P 500 (SPY) — Indexed to 100 at Q1 2026 Earnings Date (April 30, 2026). Source: Stock Price Data.</w:t>
      </w:r>
    </w:p>
    <w:p>
      <w:r>
        <w:rPr>
          <w:rFonts w:ascii="Calibri" w:hAnsi="Calibri"/>
          <w:color w:val="525866"/>
          <w:sz w:val="22"/>
        </w:rPr>
        <w:t>WTW bottomed at ~$242 in mid-May before recovering steadily through June and accelerating in July, with the stock up ~$60 from its post-earnings low. The S&amp;P 500 was essentially flat over the same period (+3.1%), confirming the WTW recovery was company-specific rather than market-driven. Key catalysts for the recovery include: (1) CEO Carl Hess and President Lucy Clarke open-market purchases in early May at ~$256, signaling insider conviction at the lows; (2) the July 13 announcement of the Q2 earnings date, which may have attracted event-driven buyers; and (3) broader sector re-rating as peers MMC and AON reported strong Q2 results in late July, providing positive read-through for the broking industry.</w:t>
      </w:r>
    </w:p>
    <w:p>
      <w:r>
        <w:br w:type="page"/>
      </w:r>
    </w:p>
    <w:p>
      <w:pPr>
        <w:pStyle w:val="Heading2"/>
      </w:pPr>
      <w:r>
        <w:rPr>
          <w:rFonts w:ascii="Calibri" w:hAnsi="Calibri"/>
          <w:b/>
          <w:color w:val="3B4259"/>
          <w:sz w:val="28"/>
        </w:rPr>
        <w:t>6. Peer Commentary Read-Through (Q2 2026)</w:t>
      </w:r>
    </w:p>
    <w:p>
      <w:r>
        <w:rPr>
          <w:rFonts w:ascii="Calibri" w:hAnsi="Calibri"/>
          <w:b/>
          <w:color w:val="525866"/>
          <w:sz w:val="22"/>
        </w:rPr>
        <w:t xml:space="preserve">Key Takeaway: </w:t>
      </w:r>
      <w:r>
        <w:rPr>
          <w:rFonts w:ascii="Calibri" w:hAnsi="Calibri"/>
          <w:color w:val="525866"/>
          <w:sz w:val="22"/>
        </w:rPr>
        <w:t xml:space="preserve">Peer Q2 2026 results from MMC, AON, AJG, and BRO are broadly constructive for WTW — </w:t>
      </w:r>
    </w:p>
    <w:p>
      <w:r>
        <w:rPr>
          <w:rFonts w:ascii="Calibri" w:hAnsi="Calibri"/>
          <w:b/>
          <w:color w:val="525866"/>
          <w:sz w:val="22"/>
        </w:rPr>
        <w:t>mid-single-digit organic growth is achievable in the current environment</w:t>
      </w:r>
      <w:r>
        <w:rPr>
          <w:rFonts w:ascii="Calibri" w:hAnsi="Calibri"/>
          <w:color w:val="525866"/>
          <w:sz w:val="22"/>
        </w:rPr>
        <w:t>, pricing headwinds are manageable (net market impact modestly positive for AON), and specialty/construction/health demand remains robust; the key WTW-specific risk is whether new business timing and Middle East disruption have normalized.</w:t>
      </w:r>
    </w:p>
    <w:p>
      <w:pPr>
        <w:pStyle w:val="Heading3"/>
      </w:pPr>
      <w:r>
        <w:rPr>
          <w:rFonts w:ascii="Calibri" w:hAnsi="Calibri"/>
          <w:b/>
          <w:color w:val="3B4259"/>
          <w:sz w:val="24"/>
        </w:rPr>
        <w:t>AON — Q2 2026 Earnings (Reported July 29, 2026)</w:t>
      </w:r>
    </w:p>
    <w:p>
      <w:pPr>
        <w:pStyle w:val="ListBullet"/>
        <w:ind w:left="360" w:hanging="360"/>
      </w:pPr>
      <w:r>
        <w:rPr>
          <w:rFonts w:ascii="Calibri" w:hAnsi="Calibri"/>
          <w:b/>
          <w:color w:val="525866"/>
          <w:sz w:val="22"/>
        </w:rPr>
        <w:t>Organic growth: 5% in Q2 2026</w:t>
      </w:r>
      <w:r>
        <w:rPr>
          <w:rFonts w:ascii="Calibri" w:hAnsi="Calibri"/>
          <w:color w:val="525866"/>
          <w:sz w:val="22"/>
        </w:rPr>
        <w:t xml:space="preserve">, broad-based across all four solution lines (each at 5%+). Reaffirmed full-year guidance of mid-single-digit or greater organic growth. </w:t>
      </w:r>
    </w:p>
    <w:p>
      <w:pPr>
        <w:pStyle w:val="ListBullet"/>
        <w:ind w:left="360" w:hanging="360"/>
      </w:pPr>
      <w:r>
        <w:rPr>
          <w:rFonts w:ascii="Calibri" w:hAnsi="Calibri"/>
          <w:b/>
          <w:color w:val="525866"/>
          <w:sz w:val="22"/>
        </w:rPr>
        <w:t xml:space="preserve">Read-through for WTW: </w:t>
      </w:r>
      <w:r>
        <w:rPr>
          <w:rFonts w:ascii="Calibri" w:hAnsi="Calibri"/>
          <w:color w:val="525866"/>
          <w:sz w:val="22"/>
        </w:rPr>
        <w:t>AON's 5% organic growth in a comparable broking environment validates that mid-single-digit growth is achievable in Q2 2026. AON's net market impact was "modestly positive" despite softer P&amp;C and reinsurance pricing, suggesting pricing headwinds are not a structural barrier to growth.</w:t>
      </w:r>
    </w:p>
    <w:p>
      <w:pPr>
        <w:pStyle w:val="ListBullet"/>
        <w:ind w:left="360" w:hanging="360"/>
      </w:pPr>
      <w:r>
        <w:rPr>
          <w:rFonts w:ascii="Calibri" w:hAnsi="Calibri"/>
          <w:b/>
          <w:color w:val="525866"/>
          <w:sz w:val="22"/>
        </w:rPr>
        <w:t xml:space="preserve">Pricing environment: </w:t>
      </w:r>
      <w:r>
        <w:rPr>
          <w:rFonts w:ascii="Calibri" w:hAnsi="Calibri"/>
          <w:color w:val="525866"/>
          <w:sz w:val="22"/>
        </w:rPr>
        <w:t xml:space="preserve">Net market impact (rate + exposure) was modestly positive and within the expected 0–2 point range despite softer P&amp;C and reinsurance pricing. Property rates down, casualty still growing, cyber flat to low-single-digit. </w:t>
      </w:r>
    </w:p>
    <w:p>
      <w:pPr>
        <w:pStyle w:val="ListBullet"/>
        <w:ind w:left="360" w:hanging="360"/>
      </w:pPr>
      <w:r>
        <w:rPr>
          <w:rFonts w:ascii="Calibri" w:hAnsi="Calibri"/>
          <w:b/>
          <w:color w:val="525866"/>
          <w:sz w:val="22"/>
        </w:rPr>
        <w:t xml:space="preserve">Read-through for WTW: </w:t>
      </w:r>
      <w:r>
        <w:rPr>
          <w:rFonts w:ascii="Calibri" w:hAnsi="Calibri"/>
          <w:color w:val="525866"/>
          <w:sz w:val="22"/>
        </w:rPr>
        <w:t>The pricing environment is not deteriorating further — AON's commentary that structural risk trends (loss severity) argue against extended softness is a positive signal for WTW's CRB pricing outlook.</w:t>
      </w:r>
    </w:p>
    <w:p>
      <w:pPr>
        <w:pStyle w:val="ListBullet"/>
        <w:ind w:left="360" w:hanging="360"/>
      </w:pPr>
      <w:r>
        <w:rPr>
          <w:rFonts w:ascii="Calibri" w:hAnsi="Calibri"/>
          <w:b/>
          <w:color w:val="525866"/>
          <w:sz w:val="22"/>
        </w:rPr>
        <w:t xml:space="preserve">Specialty/construction: </w:t>
      </w:r>
      <w:r>
        <w:rPr>
          <w:rFonts w:ascii="Calibri" w:hAnsi="Calibri"/>
          <w:color w:val="525866"/>
          <w:sz w:val="22"/>
        </w:rPr>
        <w:t xml:space="preserve">Construction delivered its fifth consecutive quarter of double-digit growth (data center pipeline conversion). M&amp;A services lower YoY on tough comp but announced transaction volumes up 60%+ — a tailwind for H2. </w:t>
      </w:r>
    </w:p>
    <w:p>
      <w:pPr>
        <w:pStyle w:val="ListBullet"/>
        <w:ind w:left="360" w:hanging="360"/>
      </w:pPr>
      <w:r>
        <w:rPr>
          <w:rFonts w:ascii="Calibri" w:hAnsi="Calibri"/>
          <w:b/>
          <w:color w:val="525866"/>
          <w:sz w:val="22"/>
        </w:rPr>
        <w:t xml:space="preserve">Read-through for WTW: </w:t>
      </w:r>
      <w:r>
        <w:rPr>
          <w:rFonts w:ascii="Calibri" w:hAnsi="Calibri"/>
          <w:color w:val="525866"/>
          <w:sz w:val="22"/>
        </w:rPr>
        <w:t>WTW's CRB specialty lines (surety, credit risk, M&amp;A, construction) showed "strong growth" in Q1 despite the overall miss. AON's data center and M&amp;A pipeline strength is a positive read-through for WTW's specialty momentum in Q2.</w:t>
      </w:r>
    </w:p>
    <w:p>
      <w:pPr>
        <w:pStyle w:val="ListBullet"/>
        <w:ind w:left="360" w:hanging="360"/>
      </w:pPr>
      <w:r>
        <w:rPr>
          <w:rFonts w:ascii="Calibri" w:hAnsi="Calibri"/>
          <w:b/>
          <w:color w:val="525866"/>
          <w:sz w:val="22"/>
        </w:rPr>
        <w:t xml:space="preserve">Reinsurance: </w:t>
      </w:r>
      <w:r>
        <w:rPr>
          <w:rFonts w:ascii="Calibri" w:hAnsi="Calibri"/>
          <w:color w:val="525866"/>
          <w:sz w:val="22"/>
        </w:rPr>
        <w:t xml:space="preserve">5% organic growth despite 15–20% lower treaty rates, driven by strong new business and new logos. </w:t>
      </w:r>
    </w:p>
    <w:p>
      <w:pPr>
        <w:pStyle w:val="ListBullet"/>
        <w:ind w:left="360" w:hanging="360"/>
      </w:pPr>
      <w:r>
        <w:rPr>
          <w:rFonts w:ascii="Calibri" w:hAnsi="Calibri"/>
          <w:b/>
          <w:color w:val="525866"/>
          <w:sz w:val="22"/>
        </w:rPr>
        <w:t xml:space="preserve">Read-through for WTW: </w:t>
      </w:r>
      <w:r>
        <w:rPr>
          <w:rFonts w:ascii="Calibri" w:hAnsi="Calibri"/>
          <w:color w:val="525866"/>
          <w:sz w:val="22"/>
        </w:rPr>
        <w:t>WTW's ICT segment (Insurance Consulting and Technology) had its strongest quarter in several quarters in Q1 (+5%). AON's reinsurance strength suggests the broader reinsurance advisory market remains healthy.</w:t>
      </w:r>
    </w:p>
    <w:p>
      <w:pPr>
        <w:pStyle w:val="ListBullet"/>
        <w:ind w:left="360" w:hanging="360"/>
      </w:pPr>
      <w:r>
        <w:rPr>
          <w:rFonts w:ascii="Calibri" w:hAnsi="Calibri"/>
          <w:b/>
          <w:color w:val="525866"/>
          <w:sz w:val="22"/>
        </w:rPr>
        <w:t xml:space="preserve">Middle East / geopolitical: </w:t>
      </w:r>
      <w:r>
        <w:rPr>
          <w:rFonts w:ascii="Calibri" w:hAnsi="Calibri"/>
          <w:color w:val="525866"/>
          <w:sz w:val="22"/>
        </w:rPr>
        <w:t xml:space="preserve">AON noted "elevated geopolitical uncertainty" but described its portfolio as "very diversified" with "moderate sensitivity to any particular international region." Impact on results has been limited. </w:t>
      </w:r>
    </w:p>
    <w:p>
      <w:pPr>
        <w:pStyle w:val="ListBullet"/>
        <w:ind w:left="360" w:hanging="360"/>
      </w:pPr>
      <w:r>
        <w:rPr>
          <w:rFonts w:ascii="Calibri" w:hAnsi="Calibri"/>
          <w:b/>
          <w:color w:val="525866"/>
          <w:sz w:val="22"/>
        </w:rPr>
        <w:t xml:space="preserve">Read-through for WTW: </w:t>
      </w:r>
      <w:r>
        <w:rPr>
          <w:rFonts w:ascii="Calibri" w:hAnsi="Calibri"/>
          <w:color w:val="525866"/>
          <w:sz w:val="22"/>
        </w:rPr>
        <w:t>WTW has a more concentrated Middle East presence than AON. AON's limited impact is a mild positive, but WTW's Career and international broking disruption may not have fully normalized.</w:t>
      </w:r>
    </w:p>
    <w:p>
      <w:pPr>
        <w:pStyle w:val="ListBullet"/>
        <w:ind w:left="360" w:hanging="360"/>
      </w:pPr>
      <w:r>
        <w:rPr>
          <w:rFonts w:ascii="Calibri" w:hAnsi="Calibri"/>
          <w:b/>
          <w:color w:val="525866"/>
          <w:sz w:val="22"/>
        </w:rPr>
        <w:t xml:space="preserve">Margin: </w:t>
      </w:r>
      <w:r>
        <w:rPr>
          <w:rFonts w:ascii="Calibri" w:hAnsi="Calibri"/>
          <w:color w:val="525866"/>
          <w:sz w:val="22"/>
        </w:rPr>
        <w:t xml:space="preserve">Reaffirmed 70–80 bps margin expansion and double-digit FCF growth for FY 2026. </w:t>
      </w:r>
    </w:p>
    <w:p>
      <w:pPr>
        <w:pStyle w:val="ListBullet"/>
        <w:ind w:left="360" w:hanging="360"/>
      </w:pPr>
      <w:r>
        <w:rPr>
          <w:rFonts w:ascii="Calibri" w:hAnsi="Calibri"/>
          <w:b/>
          <w:color w:val="525866"/>
          <w:sz w:val="22"/>
        </w:rPr>
        <w:t xml:space="preserve">Read-through for WTW: </w:t>
      </w:r>
      <w:r>
        <w:rPr>
          <w:rFonts w:ascii="Calibri" w:hAnsi="Calibri"/>
          <w:color w:val="525866"/>
          <w:sz w:val="22"/>
        </w:rPr>
        <w:t>Consistent with WTW's own margin expansion commitment; confirms the sector-wide operating leverage thesis is intact.</w:t>
      </w:r>
    </w:p>
    <w:p>
      <w:pPr>
        <w:pStyle w:val="Heading3"/>
      </w:pPr>
      <w:r>
        <w:rPr>
          <w:rFonts w:ascii="Calibri" w:hAnsi="Calibri"/>
          <w:b/>
          <w:color w:val="3B4259"/>
          <w:sz w:val="24"/>
        </w:rPr>
        <w:t>MMC (Marsh McLennan) — Q2 2026 Earnings (Reported July 21, 2026)</w:t>
      </w:r>
    </w:p>
    <w:p>
      <w:pPr>
        <w:pStyle w:val="ListBullet"/>
        <w:ind w:left="360" w:hanging="360"/>
      </w:pPr>
      <w:r>
        <w:rPr>
          <w:rFonts w:ascii="Calibri" w:hAnsi="Calibri"/>
          <w:b/>
          <w:color w:val="525866"/>
          <w:sz w:val="22"/>
        </w:rPr>
        <w:t>Organic growth: 5% underlying in Q2 2026</w:t>
      </w:r>
      <w:r>
        <w:rPr>
          <w:rFonts w:ascii="Calibri" w:hAnsi="Calibri"/>
          <w:color w:val="525866"/>
          <w:sz w:val="22"/>
        </w:rPr>
        <w:t xml:space="preserve"> (accelerated from 4% in Q1). Marsh Risk +4%, Consulting +8% underlying. Full-year guidance: underlying growth similar to 2025, with margin expansion and solid EPS growth. </w:t>
      </w:r>
    </w:p>
    <w:p>
      <w:pPr>
        <w:pStyle w:val="ListBullet"/>
        <w:ind w:left="360" w:hanging="360"/>
      </w:pPr>
      <w:r>
        <w:rPr>
          <w:rFonts w:ascii="Calibri" w:hAnsi="Calibri"/>
          <w:b/>
          <w:color w:val="525866"/>
          <w:sz w:val="22"/>
        </w:rPr>
        <w:t xml:space="preserve">Read-through for WTW: </w:t>
      </w:r>
      <w:r>
        <w:rPr>
          <w:rFonts w:ascii="Calibri" w:hAnsi="Calibri"/>
          <w:color w:val="525866"/>
          <w:sz w:val="22"/>
        </w:rPr>
        <w:t>MMC's acceleration from 4% to 5% underlying growth is a strong positive read-through for the broking industry in Q2. WTW's consensus of ~3.7% organic growth looks conservative if the broader market is accelerating.</w:t>
      </w:r>
    </w:p>
    <w:p>
      <w:pPr>
        <w:pStyle w:val="ListBullet"/>
        <w:ind w:left="360" w:hanging="360"/>
      </w:pPr>
      <w:r>
        <w:rPr>
          <w:rFonts w:ascii="Calibri" w:hAnsi="Calibri"/>
          <w:b/>
          <w:color w:val="525866"/>
          <w:sz w:val="22"/>
        </w:rPr>
        <w:t xml:space="preserve">Insurance pricing (Marsh Global Insurance Market Index): </w:t>
      </w:r>
      <w:r>
        <w:rPr>
          <w:rFonts w:ascii="Calibri" w:hAnsi="Calibri"/>
          <w:color w:val="525866"/>
          <w:sz w:val="22"/>
        </w:rPr>
        <w:t xml:space="preserve">Primary commercial rates -6% in Q2 (vs. -5% in Q1), with global property -12% YoY (steepest decline in 25 years for Guy Carpenter's property cat index). US rates -2%, international down more. Casualty +2% globally, US excess casualty +15%. </w:t>
      </w:r>
    </w:p>
    <w:p>
      <w:pPr>
        <w:pStyle w:val="ListBullet"/>
        <w:ind w:left="360" w:hanging="360"/>
      </w:pPr>
      <w:r>
        <w:rPr>
          <w:rFonts w:ascii="Calibri" w:hAnsi="Calibri"/>
          <w:b/>
          <w:color w:val="525866"/>
          <w:sz w:val="22"/>
        </w:rPr>
        <w:t xml:space="preserve">Read-through for WTW: </w:t>
      </w:r>
      <w:r>
        <w:rPr>
          <w:rFonts w:ascii="Calibri" w:hAnsi="Calibri"/>
          <w:color w:val="525866"/>
          <w:sz w:val="22"/>
        </w:rPr>
        <w:t>The accelerating property rate decline is a headwind for WTW's CRB large-account business (consistent with Q1 commentary on competitive pricing in large/complex accounts). However, MMC still delivered 4% underlying growth at Marsh Risk despite these headwinds, suggesting new business and retention can offset pricing.</w:t>
      </w:r>
    </w:p>
    <w:p>
      <w:pPr>
        <w:pStyle w:val="ListBullet"/>
        <w:ind w:left="360" w:hanging="360"/>
      </w:pPr>
      <w:r>
        <w:rPr>
          <w:rFonts w:ascii="Calibri" w:hAnsi="Calibri"/>
          <w:b/>
          <w:color w:val="525866"/>
          <w:sz w:val="22"/>
        </w:rPr>
        <w:t xml:space="preserve">Specialty lines: </w:t>
      </w:r>
      <w:r>
        <w:rPr>
          <w:rFonts w:ascii="Calibri" w:hAnsi="Calibri"/>
          <w:color w:val="525866"/>
          <w:sz w:val="22"/>
        </w:rPr>
        <w:t xml:space="preserve">Double-digit growth in marine, transactional risk, construction, aviation, energy and power. Robust digital infrastructure pipeline making meaningful contribution. </w:t>
      </w:r>
    </w:p>
    <w:p>
      <w:pPr>
        <w:pStyle w:val="ListBullet"/>
        <w:ind w:left="360" w:hanging="360"/>
      </w:pPr>
      <w:r>
        <w:rPr>
          <w:rFonts w:ascii="Calibri" w:hAnsi="Calibri"/>
          <w:b/>
          <w:color w:val="525866"/>
          <w:sz w:val="22"/>
        </w:rPr>
        <w:t xml:space="preserve">Read-through for WTW: </w:t>
      </w:r>
      <w:r>
        <w:rPr>
          <w:rFonts w:ascii="Calibri" w:hAnsi="Calibri"/>
          <w:color w:val="525866"/>
          <w:sz w:val="22"/>
        </w:rPr>
        <w:t>WTW's specialty lines (surety, credit risk, M&amp;A, construction) were the bright spot in Q1. MMC's specialty strength confirms the specialty-led strategy is the right positioning in the current pricing environment.</w:t>
      </w:r>
    </w:p>
    <w:p>
      <w:pPr>
        <w:pStyle w:val="ListBullet"/>
        <w:ind w:left="360" w:hanging="360"/>
      </w:pPr>
      <w:r>
        <w:rPr>
          <w:rFonts w:ascii="Calibri" w:hAnsi="Calibri"/>
          <w:b/>
          <w:color w:val="525866"/>
          <w:sz w:val="22"/>
        </w:rPr>
        <w:t xml:space="preserve">Health (Mercer): </w:t>
      </w:r>
      <w:r>
        <w:rPr>
          <w:rFonts w:ascii="Calibri" w:hAnsi="Calibri"/>
          <w:color w:val="525866"/>
          <w:sz w:val="22"/>
        </w:rPr>
        <w:t xml:space="preserve">Grew 3% in Q2 (below the 5%+ trend of prior quarters), with international health +8%. MMC cautioned against extrapolating from one quarter, noting 5% for H1 is a better reflection of the underlying profile. Medical inflation creating strain for employers. </w:t>
      </w:r>
    </w:p>
    <w:p>
      <w:pPr>
        <w:pStyle w:val="ListBullet"/>
        <w:ind w:left="360" w:hanging="360"/>
      </w:pPr>
      <w:r>
        <w:rPr>
          <w:rFonts w:ascii="Calibri" w:hAnsi="Calibri"/>
          <w:b/>
          <w:color w:val="525866"/>
          <w:sz w:val="22"/>
        </w:rPr>
        <w:t xml:space="preserve">Read-through for WTW: </w:t>
      </w:r>
      <w:r>
        <w:rPr>
          <w:rFonts w:ascii="Calibri" w:hAnsi="Calibri"/>
          <w:color w:val="525866"/>
          <w:sz w:val="22"/>
        </w:rPr>
        <w:t>WTW's Health segment grew 6% in Q1 (strongest performer). MMC's 3% Q2 health growth is a mild caution flag — WTW's Health may also see some moderation in Q2, though WTW's health business has different client mix and product exposure.</w:t>
      </w:r>
    </w:p>
    <w:p>
      <w:pPr>
        <w:pStyle w:val="ListBullet"/>
        <w:ind w:left="360" w:hanging="360"/>
      </w:pPr>
      <w:r>
        <w:rPr>
          <w:rFonts w:ascii="Calibri" w:hAnsi="Calibri"/>
          <w:b/>
          <w:color w:val="525866"/>
          <w:sz w:val="22"/>
        </w:rPr>
        <w:t xml:space="preserve">Middle East: </w:t>
      </w:r>
      <w:r>
        <w:rPr>
          <w:rFonts w:ascii="Calibri" w:hAnsi="Calibri"/>
          <w:color w:val="525866"/>
          <w:sz w:val="22"/>
        </w:rPr>
        <w:t xml:space="preserve">"Impact has been limited and continued through the second quarter." Sales slowed in consulting in the region but healthy backlog remains. </w:t>
      </w:r>
    </w:p>
    <w:p>
      <w:pPr>
        <w:pStyle w:val="ListBullet"/>
        <w:ind w:left="360" w:hanging="360"/>
      </w:pPr>
      <w:r>
        <w:rPr>
          <w:rFonts w:ascii="Calibri" w:hAnsi="Calibri"/>
          <w:b/>
          <w:color w:val="525866"/>
          <w:sz w:val="22"/>
        </w:rPr>
        <w:t xml:space="preserve">Read-through for WTW: </w:t>
      </w:r>
      <w:r>
        <w:rPr>
          <w:rFonts w:ascii="Calibri" w:hAnsi="Calibri"/>
          <w:color w:val="525866"/>
          <w:sz w:val="22"/>
        </w:rPr>
        <w:t>Consistent with WTW's Q1 commentary. The Middle East disruption appears to be a persistent but contained headwind rather than an escalating one — modestly positive for WTW's Career and international broking outlook.</w:t>
      </w:r>
    </w:p>
    <w:p>
      <w:pPr>
        <w:pStyle w:val="ListBullet"/>
        <w:ind w:left="360" w:hanging="360"/>
      </w:pPr>
      <w:r>
        <w:rPr>
          <w:rFonts w:ascii="Calibri" w:hAnsi="Calibri"/>
          <w:b/>
          <w:color w:val="525866"/>
          <w:sz w:val="22"/>
        </w:rPr>
        <w:t xml:space="preserve">Guy Carpenter (reinsurance): </w:t>
      </w:r>
      <w:r>
        <w:rPr>
          <w:rFonts w:ascii="Calibri" w:hAnsi="Calibri"/>
          <w:color w:val="525866"/>
          <w:sz w:val="22"/>
        </w:rPr>
        <w:t xml:space="preserve">Negative growth in Q2 and flat for H1, driven by property cat pricing down 16% at midyear (steepest decline in 25 years). Record new business in H1 but insufficient to offset rate headwinds. </w:t>
      </w:r>
    </w:p>
    <w:p>
      <w:pPr>
        <w:pStyle w:val="ListBullet"/>
        <w:ind w:left="360" w:hanging="360"/>
      </w:pPr>
      <w:r>
        <w:rPr>
          <w:rFonts w:ascii="Calibri" w:hAnsi="Calibri"/>
          <w:b/>
          <w:color w:val="525866"/>
          <w:sz w:val="22"/>
        </w:rPr>
        <w:t xml:space="preserve">Read-through for WTW: </w:t>
      </w:r>
      <w:r>
        <w:rPr>
          <w:rFonts w:ascii="Calibri" w:hAnsi="Calibri"/>
          <w:color w:val="525866"/>
          <w:sz w:val="22"/>
        </w:rPr>
        <w:t>WTW's ICT segment had its strongest quarter in Q1 (+5%). The reinsurance pricing headwind is more acute for pure-play reinsurance brokers; WTW's ICT is more consulting/technology-weighted, which is a relative advantage.</w:t>
      </w:r>
    </w:p>
    <w:p>
      <w:pPr>
        <w:pStyle w:val="Heading3"/>
      </w:pPr>
      <w:r>
        <w:rPr>
          <w:rFonts w:ascii="Calibri" w:hAnsi="Calibri"/>
          <w:b/>
          <w:color w:val="3B4259"/>
          <w:sz w:val="24"/>
        </w:rPr>
        <w:t>AJG (Arthur J. Gallagher) — Pre-Q2 2026 Investor Meeting (June 17, 2026)</w:t>
      </w:r>
    </w:p>
    <w:p>
      <w:pPr>
        <w:pStyle w:val="ListBullet"/>
        <w:ind w:left="360" w:hanging="360"/>
      </w:pPr>
      <w:r>
        <w:rPr>
          <w:rFonts w:ascii="Calibri" w:hAnsi="Calibri"/>
          <w:b/>
          <w:color w:val="525866"/>
          <w:sz w:val="22"/>
        </w:rPr>
        <w:t xml:space="preserve">Organic growth outlook: </w:t>
      </w:r>
      <w:r>
        <w:rPr>
          <w:rFonts w:ascii="Calibri" w:hAnsi="Calibri"/>
          <w:color w:val="525866"/>
          <w:sz w:val="22"/>
        </w:rPr>
        <w:t xml:space="preserve">AJG guided Q2 2026 brokerage segment organic growth of ~5%, with full-year 2026 at ~5.5%. Risk management segment guided 11% organic growth in Q2. Combined brokerage + risk management on track for ~6% full-year organic growth. </w:t>
      </w:r>
    </w:p>
    <w:p>
      <w:pPr>
        <w:pStyle w:val="ListBullet"/>
        <w:ind w:left="360" w:hanging="360"/>
      </w:pPr>
      <w:r>
        <w:rPr>
          <w:rFonts w:ascii="Calibri" w:hAnsi="Calibri"/>
          <w:b/>
          <w:color w:val="525866"/>
          <w:sz w:val="22"/>
        </w:rPr>
        <w:t xml:space="preserve">Read-through for WTW: </w:t>
      </w:r>
      <w:r>
        <w:rPr>
          <w:rFonts w:ascii="Calibri" w:hAnsi="Calibri"/>
          <w:color w:val="525866"/>
          <w:sz w:val="22"/>
        </w:rPr>
        <w:t>AJG's 5% Q2 brokerage guidance (pre-meeting, June 17) is a strong positive read-through for the broking industry. WTW's ~3.7% consensus looks conservative relative to AJG's guidance, though WTW has more consulting/HWC exposure and a larger international footprint.</w:t>
      </w:r>
    </w:p>
    <w:p>
      <w:pPr>
        <w:pStyle w:val="ListBullet"/>
        <w:ind w:left="360" w:hanging="360"/>
      </w:pPr>
      <w:r>
        <w:rPr>
          <w:rFonts w:ascii="Calibri" w:hAnsi="Calibri"/>
          <w:b/>
          <w:color w:val="525866"/>
          <w:sz w:val="22"/>
        </w:rPr>
        <w:t xml:space="preserve">Pricing environment: </w:t>
      </w:r>
      <w:r>
        <w:rPr>
          <w:rFonts w:ascii="Calibri" w:hAnsi="Calibri"/>
          <w:color w:val="525866"/>
          <w:sz w:val="22"/>
        </w:rPr>
        <w:t xml:space="preserve">US retail renewal premium change -2% (property -11%, casualty +7%). Excluding property, renewal premium change +4% in US retail. Property pricing expected to continue moving lower but no significant decline in 2027 expected. Pricing contributes only ~1% to organic growth; larger drivers are new business, retention, exposure growth. </w:t>
      </w:r>
    </w:p>
    <w:p>
      <w:pPr>
        <w:pStyle w:val="ListBullet"/>
        <w:ind w:left="360" w:hanging="360"/>
      </w:pPr>
      <w:r>
        <w:rPr>
          <w:rFonts w:ascii="Calibri" w:hAnsi="Calibri"/>
          <w:b/>
          <w:color w:val="525866"/>
          <w:sz w:val="22"/>
        </w:rPr>
        <w:t xml:space="preserve">Read-through for WTW: </w:t>
      </w:r>
      <w:r>
        <w:rPr>
          <w:rFonts w:ascii="Calibri" w:hAnsi="Calibri"/>
          <w:color w:val="525866"/>
          <w:sz w:val="22"/>
        </w:rPr>
        <w:t>AJG's framing that pricing contributes only ~1% to organic growth is directly relevant to WTW's CRB narrative — the Q1 miss was partly attributed to pricing headwinds, but AJG's data suggests pricing is a modest drag, not a structural barrier.</w:t>
      </w:r>
    </w:p>
    <w:p>
      <w:pPr>
        <w:pStyle w:val="ListBullet"/>
        <w:ind w:left="360" w:hanging="360"/>
      </w:pPr>
      <w:r>
        <w:rPr>
          <w:rFonts w:ascii="Calibri" w:hAnsi="Calibri"/>
          <w:b/>
          <w:color w:val="525866"/>
          <w:sz w:val="22"/>
        </w:rPr>
        <w:t xml:space="preserve">Health/benefits: </w:t>
      </w:r>
      <w:r>
        <w:rPr>
          <w:rFonts w:ascii="Calibri" w:hAnsi="Calibri"/>
          <w:color w:val="525866"/>
          <w:sz w:val="22"/>
        </w:rPr>
        <w:t xml:space="preserve">Medical cost trends rising throughout 2025 and expected to continue in 2026. Fully insured renewals showing high-single-digit to ~10% premium increases. Stop loss premiums up mid-teens. GBS (Gallagher Benefit Services) guided ~3% Q2 organic growth and ~4% full-year. </w:t>
      </w:r>
    </w:p>
    <w:p>
      <w:pPr>
        <w:pStyle w:val="ListBullet"/>
        <w:ind w:left="360" w:hanging="360"/>
      </w:pPr>
      <w:r>
        <w:rPr>
          <w:rFonts w:ascii="Calibri" w:hAnsi="Calibri"/>
          <w:b/>
          <w:color w:val="525866"/>
          <w:sz w:val="22"/>
        </w:rPr>
        <w:t xml:space="preserve">Read-through for WTW: </w:t>
      </w:r>
      <w:r>
        <w:rPr>
          <w:rFonts w:ascii="Calibri" w:hAnsi="Calibri"/>
          <w:color w:val="525866"/>
          <w:sz w:val="22"/>
        </w:rPr>
        <w:t>Consistent with WTW's Health segment guidance of high-single-digit growth for FY 2026. Rising medical costs are a demand driver for WTW's health advisory and benefits consulting business.</w:t>
      </w:r>
    </w:p>
    <w:p>
      <w:pPr>
        <w:pStyle w:val="ListBullet"/>
        <w:ind w:left="360" w:hanging="360"/>
      </w:pPr>
      <w:r>
        <w:rPr>
          <w:rFonts w:ascii="Calibri" w:hAnsi="Calibri"/>
          <w:b/>
          <w:color w:val="525866"/>
          <w:sz w:val="22"/>
        </w:rPr>
        <w:t xml:space="preserve">Reinsurance (Gallagher Re): </w:t>
      </w:r>
      <w:r>
        <w:rPr>
          <w:rFonts w:ascii="Calibri" w:hAnsi="Calibri"/>
          <w:color w:val="525866"/>
          <w:sz w:val="22"/>
        </w:rPr>
        <w:t xml:space="preserve">14% organic growth in 2025, strong start to 2026. 7/1 renewals expected to show ample capacity, continued competition, and strong client demand. Growth not dependent on rates. </w:t>
      </w:r>
    </w:p>
    <w:p>
      <w:pPr>
        <w:pStyle w:val="ListBullet"/>
        <w:ind w:left="360" w:hanging="360"/>
      </w:pPr>
      <w:r>
        <w:rPr>
          <w:rFonts w:ascii="Calibri" w:hAnsi="Calibri"/>
          <w:b/>
          <w:color w:val="525866"/>
          <w:sz w:val="22"/>
        </w:rPr>
        <w:t xml:space="preserve">Read-through for WTW: </w:t>
      </w:r>
      <w:r>
        <w:rPr>
          <w:rFonts w:ascii="Calibri" w:hAnsi="Calibri"/>
          <w:color w:val="525866"/>
          <w:sz w:val="22"/>
        </w:rPr>
        <w:t>Gallagher Re's strong reinsurance growth despite rate headwinds is a positive read-through for WTW's ICT segment, which includes reinsurance consulting and technology.</w:t>
      </w:r>
    </w:p>
    <w:p>
      <w:pPr>
        <w:pStyle w:val="ListBullet"/>
        <w:ind w:left="360" w:hanging="360"/>
      </w:pPr>
      <w:r>
        <w:rPr>
          <w:rFonts w:ascii="Calibri" w:hAnsi="Calibri"/>
          <w:b/>
          <w:color w:val="525866"/>
          <w:sz w:val="22"/>
        </w:rPr>
        <w:t xml:space="preserve">Client demand / macro: </w:t>
      </w:r>
      <w:r>
        <w:rPr>
          <w:rFonts w:ascii="Calibri" w:hAnsi="Calibri"/>
          <w:color w:val="525866"/>
          <w:sz w:val="22"/>
        </w:rPr>
        <w:t xml:space="preserve">Daily revenue indications from audits, endorsements, and cancellations remain positive through mid-June. Net new business spread positive. Middle-market accounts globally showing resilience despite tariffs and inflation. </w:t>
      </w:r>
    </w:p>
    <w:p>
      <w:pPr>
        <w:pStyle w:val="ListBullet"/>
        <w:ind w:left="360" w:hanging="360"/>
      </w:pPr>
      <w:r>
        <w:rPr>
          <w:rFonts w:ascii="Calibri" w:hAnsi="Calibri"/>
          <w:b/>
          <w:color w:val="525866"/>
          <w:sz w:val="22"/>
        </w:rPr>
        <w:t xml:space="preserve">Read-through for WTW: </w:t>
      </w:r>
      <w:r>
        <w:rPr>
          <w:rFonts w:ascii="Calibri" w:hAnsi="Calibri"/>
          <w:color w:val="525866"/>
          <w:sz w:val="22"/>
        </w:rPr>
        <w:t>Positive underlying business activity indicators are consistent with WTW's mid-single-digit growth target. WTW's larger-account focus means it is more exposed to the pricing headwinds AJG describes in large property accounts.</w:t>
      </w:r>
    </w:p>
    <w:p>
      <w:pPr>
        <w:pStyle w:val="Heading3"/>
      </w:pPr>
      <w:r>
        <w:rPr>
          <w:rFonts w:ascii="Calibri" w:hAnsi="Calibri"/>
          <w:b/>
          <w:color w:val="3B4259"/>
          <w:sz w:val="24"/>
        </w:rPr>
        <w:t>BRO (Brown &amp; Brown) — Q2 2026 Earnings (Reported July 28, 2026)</w:t>
      </w:r>
    </w:p>
    <w:p>
      <w:pPr>
        <w:pStyle w:val="ListBullet"/>
        <w:ind w:left="360" w:hanging="360"/>
      </w:pPr>
      <w:r>
        <w:rPr>
          <w:rFonts w:ascii="Calibri" w:hAnsi="Calibri"/>
          <w:b/>
          <w:color w:val="525866"/>
          <w:sz w:val="22"/>
        </w:rPr>
        <w:t xml:space="preserve">Organic growth: </w:t>
      </w:r>
      <w:r>
        <w:rPr>
          <w:rFonts w:ascii="Calibri" w:hAnsi="Calibri"/>
          <w:color w:val="525866"/>
          <w:sz w:val="22"/>
        </w:rPr>
        <w:t xml:space="preserve">Total organic revenue -70 bps YoY (or +70 bps including contingents). Retail +1.5% (ex-contingents), Specialty Distribution -3.5% (ex-contingents, impacted by ~200 bps from $10M delayed new business revenue expected to be recorded in Q3). </w:t>
      </w:r>
    </w:p>
    <w:p>
      <w:pPr>
        <w:pStyle w:val="ListBullet"/>
        <w:ind w:left="360" w:hanging="360"/>
      </w:pPr>
      <w:r>
        <w:rPr>
          <w:rFonts w:ascii="Calibri" w:hAnsi="Calibri"/>
          <w:b/>
          <w:color w:val="525866"/>
          <w:sz w:val="22"/>
        </w:rPr>
        <w:t xml:space="preserve">Read-through for WTW: </w:t>
      </w:r>
      <w:r>
        <w:rPr>
          <w:rFonts w:ascii="Calibri" w:hAnsi="Calibri"/>
          <w:color w:val="525866"/>
          <w:sz w:val="22"/>
        </w:rPr>
        <w:t>BRO's organic growth miss (driven by timing and cat property pricing) is a mild caution flag, but BRO is more exposed to cat property and E&amp;S markets than WTW. WTW's CRB is more weighted toward specialty advisory and large-account broking, which is performing better across peers.</w:t>
      </w:r>
    </w:p>
    <w:p>
      <w:pPr>
        <w:pStyle w:val="ListBullet"/>
        <w:ind w:left="360" w:hanging="360"/>
      </w:pPr>
      <w:r>
        <w:rPr>
          <w:rFonts w:ascii="Calibri" w:hAnsi="Calibri"/>
          <w:b/>
          <w:color w:val="525866"/>
          <w:sz w:val="22"/>
        </w:rPr>
        <w:t xml:space="preserve">Pricing environment: </w:t>
      </w:r>
      <w:r>
        <w:rPr>
          <w:rFonts w:ascii="Calibri" w:hAnsi="Calibri"/>
          <w:color w:val="525866"/>
          <w:sz w:val="22"/>
        </w:rPr>
        <w:t xml:space="preserve">Commercial rates broadly consistent with Q1, with some additional moderation. Property cat rates -15% to -35% (similar to Q1). Primary casualty and professional liability +5%. Medical costs +8–10%, pharmacy +10%+. </w:t>
      </w:r>
    </w:p>
    <w:p>
      <w:pPr>
        <w:pStyle w:val="ListBullet"/>
        <w:ind w:left="360" w:hanging="360"/>
      </w:pPr>
      <w:r>
        <w:rPr>
          <w:rFonts w:ascii="Calibri" w:hAnsi="Calibri"/>
          <w:b/>
          <w:color w:val="525866"/>
          <w:sz w:val="22"/>
        </w:rPr>
        <w:t xml:space="preserve">Read-through for WTW: </w:t>
      </w:r>
      <w:r>
        <w:rPr>
          <w:rFonts w:ascii="Calibri" w:hAnsi="Calibri"/>
          <w:color w:val="525866"/>
          <w:sz w:val="22"/>
        </w:rPr>
        <w:t>The pricing environment is stable-to-slightly-softer, consistent with WTW's Q1 commentary. The continued medical cost inflation (+8–10%) is a demand driver for WTW's Health segment.</w:t>
      </w:r>
    </w:p>
    <w:p>
      <w:pPr>
        <w:pStyle w:val="ListBullet"/>
        <w:ind w:left="360" w:hanging="360"/>
      </w:pPr>
      <w:r>
        <w:rPr>
          <w:rFonts w:ascii="Calibri" w:hAnsi="Calibri"/>
          <w:b/>
          <w:color w:val="525866"/>
          <w:sz w:val="22"/>
        </w:rPr>
        <w:t xml:space="preserve">Macro / client behavior: </w:t>
      </w:r>
      <w:r>
        <w:rPr>
          <w:rFonts w:ascii="Calibri" w:hAnsi="Calibri"/>
          <w:color w:val="525866"/>
          <w:sz w:val="22"/>
        </w:rPr>
        <w:t xml:space="preserve">Customer spending patterns stable. Most customers taking a "fairly neutral position" toward hiring and investment. Positive audit premium activity suggests businesses continue to grow. Geopolitical matters influencing sentiment but no material change in activity levels. </w:t>
      </w:r>
    </w:p>
    <w:p>
      <w:pPr>
        <w:pStyle w:val="ListBullet"/>
        <w:ind w:left="360" w:hanging="360"/>
      </w:pPr>
      <w:r>
        <w:rPr>
          <w:rFonts w:ascii="Calibri" w:hAnsi="Calibri"/>
          <w:b/>
          <w:color w:val="525866"/>
          <w:sz w:val="22"/>
        </w:rPr>
        <w:t xml:space="preserve">Read-through for WTW: </w:t>
      </w:r>
      <w:r>
        <w:rPr>
          <w:rFonts w:ascii="Calibri" w:hAnsi="Calibri"/>
          <w:color w:val="525866"/>
          <w:sz w:val="22"/>
        </w:rPr>
        <w:t>Stable macro backdrop is consistent with WTW's mid-single-digit growth target. The "neutral" hiring/investment posture is a mild headwind for WTW's Career segment (which was already disrupted by Middle East geopolitics in Q1).</w:t>
      </w:r>
    </w:p>
    <w:p>
      <w:pPr>
        <w:pStyle w:val="ListBullet"/>
        <w:ind w:left="360" w:hanging="360"/>
      </w:pPr>
      <w:r>
        <w:rPr>
          <w:rFonts w:ascii="Calibri" w:hAnsi="Calibri"/>
          <w:b/>
          <w:color w:val="525866"/>
          <w:sz w:val="22"/>
        </w:rPr>
        <w:t xml:space="preserve">H2 outlook: </w:t>
      </w:r>
      <w:r>
        <w:rPr>
          <w:rFonts w:ascii="Calibri" w:hAnsi="Calibri"/>
          <w:color w:val="525866"/>
          <w:sz w:val="22"/>
        </w:rPr>
        <w:t xml:space="preserve">BRO expects organic growth to improve in both divisions in H2 2026. Retail guided 1.5–2.5% (ex-contingents), Specialty Distribution 2–4% (ex-contingents). </w:t>
      </w:r>
    </w:p>
    <w:p>
      <w:pPr>
        <w:pStyle w:val="ListBullet"/>
        <w:ind w:left="360" w:hanging="360"/>
      </w:pPr>
      <w:r>
        <w:rPr>
          <w:rFonts w:ascii="Calibri" w:hAnsi="Calibri"/>
          <w:b/>
          <w:color w:val="525866"/>
          <w:sz w:val="22"/>
        </w:rPr>
        <w:t xml:space="preserve">Read-through for WTW: </w:t>
      </w:r>
      <w:r>
        <w:rPr>
          <w:rFonts w:ascii="Calibri" w:hAnsi="Calibri"/>
          <w:color w:val="525866"/>
          <w:sz w:val="22"/>
        </w:rPr>
        <w:t>BRO's H2 improvement expectation is consistent with WTW's full-year mid-single-digit guidance requiring a back-half acceleration from the Q1 3% print.</w:t>
      </w:r>
    </w:p>
    <w:p>
      <w:pPr>
        <w:pStyle w:val="Heading2"/>
      </w:pPr>
      <w:r>
        <w:rPr>
          <w:rFonts w:ascii="Calibri" w:hAnsi="Calibri"/>
          <w:b/>
          <w:color w:val="3B4259"/>
          <w:sz w:val="28"/>
        </w:rPr>
        <w:t>7. Material News &amp; Developments</w:t>
      </w:r>
    </w:p>
    <w:p>
      <w:r>
        <w:rPr>
          <w:rFonts w:ascii="Calibri" w:hAnsi="Calibri"/>
          <w:b/>
          <w:color w:val="525866"/>
          <w:sz w:val="22"/>
        </w:rPr>
        <w:t xml:space="preserve">Key Takeaway: </w:t>
      </w:r>
      <w:r>
        <w:rPr>
          <w:rFonts w:ascii="Calibri" w:hAnsi="Calibri"/>
          <w:color w:val="525866"/>
          <w:sz w:val="22"/>
        </w:rPr>
        <w:t xml:space="preserve">The most important development since Q1 earnings is the </w:t>
      </w:r>
    </w:p>
    <w:p>
      <w:r>
        <w:rPr>
          <w:rFonts w:ascii="Calibri" w:hAnsi="Calibri"/>
          <w:b/>
          <w:color w:val="525866"/>
          <w:sz w:val="22"/>
        </w:rPr>
        <w:t>appointment of Spike Lipkin (Newfront co-founder) as Chief AI Officer</w:t>
      </w:r>
      <w:r>
        <w:rPr>
          <w:rFonts w:ascii="Calibri" w:hAnsi="Calibri"/>
          <w:color w:val="525866"/>
          <w:sz w:val="22"/>
        </w:rPr>
        <w:t xml:space="preserve"> and the rollout of the Neuron AI operating system — these signal WTW is accelerating its technology differentiation strategy, which is the primary long-term growth driver but has not yet moved near-term estimates.</w:t>
      </w:r>
    </w:p>
    <w:p>
      <w:pPr>
        <w:pStyle w:val="ListBullet"/>
        <w:ind w:left="360" w:hanging="360"/>
      </w:pPr>
      <w:r>
        <w:rPr>
          <w:rFonts w:ascii="Calibri" w:hAnsi="Calibri"/>
          <w:b/>
          <w:color w:val="525866"/>
          <w:sz w:val="22"/>
        </w:rPr>
        <w:t xml:space="preserve">April 30, 2026 — Q1 2026 Earnings: </w:t>
      </w:r>
      <w:r>
        <w:rPr>
          <w:rFonts w:ascii="Calibri" w:hAnsi="Calibri"/>
          <w:color w:val="525866"/>
          <w:sz w:val="22"/>
        </w:rPr>
        <w:t xml:space="preserve">WTW reported Q1 2026 results — adjusted EPS of $3.72 beat consensus ($3.65) but organic revenue growth of 3% missed consensus (~4.8%). CRB organic growth decelerated sharply to 2% (vs. 7% in Q1 2025). Stock fell ~12% on the day. Full-year R&amp;B guidance narrowed to mid-single digits from mid-to-high single digits. </w:t>
      </w:r>
    </w:p>
    <w:p>
      <w:pPr>
        <w:pStyle w:val="ListBullet"/>
        <w:ind w:left="360" w:hanging="360"/>
      </w:pPr>
      <w:r>
        <w:rPr>
          <w:rFonts w:ascii="Calibri" w:hAnsi="Calibri"/>
          <w:b/>
          <w:color w:val="525866"/>
          <w:sz w:val="22"/>
        </w:rPr>
        <w:t xml:space="preserve">Implication: </w:t>
      </w:r>
      <w:r>
        <w:rPr>
          <w:rFonts w:ascii="Calibri" w:hAnsi="Calibri"/>
          <w:color w:val="525866"/>
          <w:sz w:val="22"/>
        </w:rPr>
        <w:t>Sets the reset bar for Q2; the revenue miss and guidance cut are the primary overhang heading into the print.</w:t>
      </w:r>
    </w:p>
    <w:p>
      <w:pPr>
        <w:pStyle w:val="ListBullet"/>
        <w:ind w:left="360" w:hanging="360"/>
      </w:pPr>
      <w:r>
        <w:rPr>
          <w:rFonts w:ascii="Calibri" w:hAnsi="Calibri"/>
          <w:b/>
          <w:color w:val="525866"/>
          <w:sz w:val="22"/>
        </w:rPr>
        <w:t xml:space="preserve">April 30, 2026 — Chief AI Officer Appointment: </w:t>
      </w:r>
      <w:r>
        <w:rPr>
          <w:rFonts w:ascii="Calibri" w:hAnsi="Calibri"/>
          <w:color w:val="525866"/>
          <w:sz w:val="22"/>
        </w:rPr>
        <w:t xml:space="preserve">WTW appointed Spike Lipkin, co-founder of Newfront, as Chief AI Officer. Lipkin highlighted that Newfront's AI tools led colleagues to sell "about 50% more" and client attrition dropped "by half." </w:t>
      </w:r>
    </w:p>
    <w:p>
      <w:pPr>
        <w:pStyle w:val="ListBullet"/>
        <w:ind w:left="360" w:hanging="360"/>
      </w:pPr>
      <w:r>
        <w:rPr>
          <w:rFonts w:ascii="Calibri" w:hAnsi="Calibri"/>
          <w:b/>
          <w:color w:val="525866"/>
          <w:sz w:val="22"/>
        </w:rPr>
        <w:t xml:space="preserve">Implication: </w:t>
      </w:r>
      <w:r>
        <w:rPr>
          <w:rFonts w:ascii="Calibri" w:hAnsi="Calibri"/>
          <w:color w:val="525866"/>
          <w:sz w:val="22"/>
        </w:rPr>
        <w:t>Signals WTW is embedding Newfront's technology at scale; the Neuron AI operating system rollout in cyber and property lines is the most concrete near-term growth catalyst from the Newfront acquisition.</w:t>
      </w:r>
    </w:p>
    <w:p>
      <w:pPr>
        <w:pStyle w:val="ListBullet"/>
        <w:ind w:left="360" w:hanging="360"/>
      </w:pPr>
      <w:r>
        <w:rPr>
          <w:rFonts w:ascii="Calibri" w:hAnsi="Calibri"/>
          <w:b/>
          <w:color w:val="525866"/>
          <w:sz w:val="22"/>
        </w:rPr>
        <w:t xml:space="preserve">April 30, 2026 — Neuron AI Operating System Launch: </w:t>
      </w:r>
      <w:r>
        <w:rPr>
          <w:rFonts w:ascii="Calibri" w:hAnsi="Calibri"/>
          <w:color w:val="525866"/>
          <w:sz w:val="22"/>
        </w:rPr>
        <w:t xml:space="preserve">WTW launched "Neuron," an AI-powered operating system for CRB, following two successful pilots in H2 2025. Agentic tools (Coverage Gap Analysis, Navigator, Partner Management) being rolled out to brokers. </w:t>
      </w:r>
    </w:p>
    <w:p>
      <w:pPr>
        <w:pStyle w:val="ListBullet"/>
        <w:ind w:left="360" w:hanging="360"/>
      </w:pPr>
      <w:r>
        <w:rPr>
          <w:rFonts w:ascii="Calibri" w:hAnsi="Calibri"/>
          <w:b/>
          <w:color w:val="525866"/>
          <w:sz w:val="22"/>
        </w:rPr>
        <w:t xml:space="preserve">Implication: </w:t>
      </w:r>
      <w:r>
        <w:rPr>
          <w:rFonts w:ascii="Calibri" w:hAnsi="Calibri"/>
          <w:color w:val="525866"/>
          <w:sz w:val="22"/>
        </w:rPr>
        <w:t>Near-term productivity driver for CRB; management cited 90% reduction in endorsement processing time in the affinity team. Could support new business win rates in H2 2026.</w:t>
      </w:r>
    </w:p>
    <w:p>
      <w:pPr>
        <w:pStyle w:val="ListBullet"/>
        <w:ind w:left="360" w:hanging="360"/>
      </w:pPr>
      <w:r>
        <w:rPr>
          <w:rFonts w:ascii="Calibri" w:hAnsi="Calibri"/>
          <w:b/>
          <w:color w:val="525866"/>
          <w:sz w:val="22"/>
        </w:rPr>
        <w:t xml:space="preserve">May 4–6, 2026 — CEO and President Open Market Purchases: </w:t>
      </w:r>
      <w:r>
        <w:rPr>
          <w:rFonts w:ascii="Calibri" w:hAnsi="Calibri"/>
          <w:color w:val="525866"/>
          <w:sz w:val="22"/>
        </w:rPr>
        <w:t xml:space="preserve">CEO Carl Hess purchased 2,000 shares at ~$256 (May 4); President of R&amp;B Lucy Clarke purchased 1,896 shares at ~$252 (May 6). Combined value ~$990K. </w:t>
      </w:r>
    </w:p>
    <w:p>
      <w:pPr>
        <w:pStyle w:val="ListBullet"/>
        <w:ind w:left="360" w:hanging="360"/>
      </w:pPr>
      <w:r>
        <w:rPr>
          <w:rFonts w:ascii="Calibri" w:hAnsi="Calibri"/>
          <w:b/>
          <w:color w:val="525866"/>
          <w:sz w:val="22"/>
        </w:rPr>
        <w:t xml:space="preserve">Implication: </w:t>
      </w:r>
      <w:r>
        <w:rPr>
          <w:rFonts w:ascii="Calibri" w:hAnsi="Calibri"/>
          <w:color w:val="525866"/>
          <w:sz w:val="22"/>
        </w:rPr>
        <w:t>Strongest insider buy signal in the period — both the CEO and the head of the most troubled segment bought at the post-earnings lows, signaling conviction in the recovery narrative.</w:t>
      </w:r>
    </w:p>
    <w:p>
      <w:pPr>
        <w:pStyle w:val="ListBullet"/>
        <w:ind w:left="360" w:hanging="360"/>
      </w:pPr>
      <w:r>
        <w:rPr>
          <w:rFonts w:ascii="Calibri" w:hAnsi="Calibri"/>
          <w:b/>
          <w:color w:val="525866"/>
          <w:sz w:val="22"/>
        </w:rPr>
        <w:t xml:space="preserve">July 13, 2026 — Q2 2026 Earnings Date Announced: </w:t>
      </w:r>
      <w:r>
        <w:rPr>
          <w:rFonts w:ascii="Calibri" w:hAnsi="Calibri"/>
          <w:color w:val="525866"/>
          <w:sz w:val="22"/>
        </w:rPr>
        <w:t xml:space="preserve">WTW announced Q2 2026 results will be released July 30, 2026 before market open, with a conference call at 9:00 AM ET. </w:t>
      </w:r>
    </w:p>
    <w:p>
      <w:pPr>
        <w:pStyle w:val="ListBullet"/>
        <w:ind w:left="360" w:hanging="360"/>
      </w:pPr>
      <w:r>
        <w:rPr>
          <w:rFonts w:ascii="Calibri" w:hAnsi="Calibri"/>
          <w:b/>
          <w:color w:val="525866"/>
          <w:sz w:val="22"/>
        </w:rPr>
        <w:t xml:space="preserve">Implication: </w:t>
      </w:r>
      <w:r>
        <w:rPr>
          <w:rFonts w:ascii="Calibri" w:hAnsi="Calibri"/>
          <w:color w:val="525866"/>
          <w:sz w:val="22"/>
        </w:rPr>
        <w:t>Routine announcement; no pre-announcement or guidance update was included, which is neutral (no negative pre-announcement).</w:t>
      </w:r>
    </w:p>
    <w:p>
      <w:pPr>
        <w:pStyle w:val="ListBullet"/>
        <w:ind w:left="360" w:hanging="360"/>
      </w:pPr>
      <w:r>
        <w:rPr>
          <w:rFonts w:ascii="Calibri" w:hAnsi="Calibri"/>
          <w:b/>
          <w:color w:val="525866"/>
          <w:sz w:val="22"/>
        </w:rPr>
        <w:t xml:space="preserve">July 21, 2026 — MMC Q2 2026 Earnings (Peer Read-Through): </w:t>
      </w:r>
      <w:r>
        <w:rPr>
          <w:rFonts w:ascii="Calibri" w:hAnsi="Calibri"/>
          <w:color w:val="525866"/>
          <w:sz w:val="22"/>
        </w:rPr>
        <w:t xml:space="preserve">Marsh McLennan reported 5% underlying revenue growth in Q2 2026, accelerating from 4% in Q1. Marsh Risk +4%, Consulting +8%. Reaffirmed full-year guidance. </w:t>
      </w:r>
    </w:p>
    <w:p>
      <w:pPr>
        <w:pStyle w:val="ListBullet"/>
        <w:ind w:left="360" w:hanging="360"/>
      </w:pPr>
      <w:r>
        <w:rPr>
          <w:rFonts w:ascii="Calibri" w:hAnsi="Calibri"/>
          <w:b/>
          <w:color w:val="525866"/>
          <w:sz w:val="22"/>
        </w:rPr>
        <w:t xml:space="preserve">Implication: </w:t>
      </w:r>
      <w:r>
        <w:rPr>
          <w:rFonts w:ascii="Calibri" w:hAnsi="Calibri"/>
          <w:color w:val="525866"/>
          <w:sz w:val="22"/>
        </w:rPr>
        <w:t>Strong positive read-through for WTW's broking and consulting businesses; confirms mid-single-digit growth is achievable in the current environment.</w:t>
      </w:r>
    </w:p>
    <w:p>
      <w:pPr>
        <w:pStyle w:val="ListBullet"/>
        <w:ind w:left="360" w:hanging="360"/>
      </w:pPr>
      <w:r>
        <w:rPr>
          <w:rFonts w:ascii="Calibri" w:hAnsi="Calibri"/>
          <w:b/>
          <w:color w:val="525866"/>
          <w:sz w:val="22"/>
        </w:rPr>
        <w:t xml:space="preserve">July 28, 2026 — BRO Q2 2026 Earnings (Peer Read-Through): </w:t>
      </w:r>
      <w:r>
        <w:rPr>
          <w:rFonts w:ascii="Calibri" w:hAnsi="Calibri"/>
          <w:color w:val="525866"/>
          <w:sz w:val="22"/>
        </w:rPr>
        <w:t xml:space="preserve">Brown &amp; Brown reported organic revenue -70 bps (or +70 bps including contingents), impacted by timing and cat property pricing. Guided H2 improvement. </w:t>
      </w:r>
    </w:p>
    <w:p>
      <w:pPr>
        <w:pStyle w:val="ListBullet"/>
        <w:ind w:left="360" w:hanging="360"/>
      </w:pPr>
      <w:r>
        <w:rPr>
          <w:rFonts w:ascii="Calibri" w:hAnsi="Calibri"/>
          <w:b/>
          <w:color w:val="525866"/>
          <w:sz w:val="22"/>
        </w:rPr>
        <w:t xml:space="preserve">Implication: </w:t>
      </w:r>
      <w:r>
        <w:rPr>
          <w:rFonts w:ascii="Calibri" w:hAnsi="Calibri"/>
          <w:color w:val="525866"/>
          <w:sz w:val="22"/>
        </w:rPr>
        <w:t>Mild caution flag for WTW's large-account P&amp;C business, but BRO's E&amp;S/cat property exposure is more acute than WTW's diversified CRB mix.</w:t>
      </w:r>
    </w:p>
    <w:p>
      <w:pPr>
        <w:pStyle w:val="ListBullet"/>
        <w:ind w:left="360" w:hanging="360"/>
      </w:pPr>
      <w:r>
        <w:rPr>
          <w:rFonts w:ascii="Calibri" w:hAnsi="Calibri"/>
          <w:b/>
          <w:color w:val="525866"/>
          <w:sz w:val="22"/>
        </w:rPr>
        <w:t xml:space="preserve">July 29, 2026 — AON Q2 2026 Earnings (Peer Read-Through): </w:t>
      </w:r>
      <w:r>
        <w:rPr>
          <w:rFonts w:ascii="Calibri" w:hAnsi="Calibri"/>
          <w:color w:val="525866"/>
          <w:sz w:val="22"/>
        </w:rPr>
        <w:t xml:space="preserve">AON reported 5% organic growth in Q2 2026, broad-based across all solution lines. Reaffirmed full-year guidance of mid-single-digit or greater organic growth, 70–80 bps margin expansion, and double-digit FCF growth. </w:t>
      </w:r>
    </w:p>
    <w:p>
      <w:pPr>
        <w:pStyle w:val="ListBullet"/>
        <w:ind w:left="360" w:hanging="360"/>
      </w:pPr>
      <w:r>
        <w:rPr>
          <w:rFonts w:ascii="Calibri" w:hAnsi="Calibri"/>
          <w:b/>
          <w:color w:val="525866"/>
          <w:sz w:val="22"/>
        </w:rPr>
        <w:t xml:space="preserve">Implication: </w:t>
      </w:r>
      <w:r>
        <w:rPr>
          <w:rFonts w:ascii="Calibri" w:hAnsi="Calibri"/>
          <w:color w:val="525866"/>
          <w:sz w:val="22"/>
        </w:rPr>
        <w:t>Most directly comparable peer to WTW; AON's 5% organic growth and reaffirmed guidance is the strongest positive read-through for WTW's Q2 print.</w:t>
      </w:r>
    </w:p>
    <w:p>
      <w:pPr>
        <w:pStyle w:val="ListBullet"/>
        <w:ind w:left="360" w:hanging="360"/>
      </w:pPr>
      <w:r>
        <w:rPr>
          <w:rFonts w:ascii="Calibri" w:hAnsi="Calibri"/>
          <w:b/>
          <w:color w:val="525866"/>
          <w:sz w:val="22"/>
        </w:rPr>
        <w:t xml:space="preserve">Ongoing — AI Strategy Execution: </w:t>
      </w:r>
      <w:r>
        <w:rPr>
          <w:rFonts w:ascii="Calibri" w:hAnsi="Calibri"/>
          <w:color w:val="525866"/>
          <w:sz w:val="22"/>
        </w:rPr>
        <w:t xml:space="preserve">WTW's "Rewards AI" serves 2,500+ client users; "HR AI Assistant Expert" won 2026 Lighthouse Tech Award; "WorkVue" agent evaluating automation potential; "Call Note Assist" summarized 1.6M+ calls with 33% reduction in post-call wrap-up time; "DocLLM" proprietary AI document ingestion tool deployed. </w:t>
      </w:r>
    </w:p>
    <w:p>
      <w:pPr>
        <w:pStyle w:val="ListBullet"/>
        <w:ind w:left="360" w:hanging="360"/>
      </w:pPr>
      <w:r>
        <w:rPr>
          <w:rFonts w:ascii="Calibri" w:hAnsi="Calibri"/>
          <w:b/>
          <w:color w:val="525866"/>
          <w:sz w:val="22"/>
        </w:rPr>
        <w:t xml:space="preserve">Implication: </w:t>
      </w:r>
      <w:r>
        <w:rPr>
          <w:rFonts w:ascii="Calibri" w:hAnsi="Calibri"/>
          <w:color w:val="525866"/>
          <w:sz w:val="22"/>
        </w:rPr>
        <w:t>AI is becoming a tangible efficiency and growth driver; management's framing of AI as a demand creator (new risks requiring new insurance solutions) is a differentiated long-term thesis.</w:t>
      </w:r>
    </w:p>
    <w:p>
      <w:pPr>
        <w:pStyle w:val="ListBullet"/>
        <w:ind w:left="360" w:hanging="360"/>
      </w:pPr>
      <w:r>
        <w:rPr>
          <w:rFonts w:ascii="Calibri" w:hAnsi="Calibri"/>
          <w:b/>
          <w:color w:val="525866"/>
          <w:sz w:val="22"/>
        </w:rPr>
        <w:t xml:space="preserve">Ongoing — Analyst Rating Activity: </w:t>
      </w:r>
      <w:r>
        <w:rPr>
          <w:rFonts w:ascii="Calibri" w:hAnsi="Calibri"/>
          <w:color w:val="525866"/>
          <w:sz w:val="22"/>
        </w:rPr>
        <w:t xml:space="preserve">Multiple firms maintained ratings in July 2026: Piper Sandler (July 15), Wells Fargo (July 9), Cantor Fitzgerald (July 9), Mizuho (July 9), UBS (July 8). No upgrades or downgrades found in the period since Q1 earnings. </w:t>
      </w:r>
    </w:p>
    <w:p>
      <w:pPr>
        <w:pStyle w:val="ListBullet"/>
        <w:ind w:left="360" w:hanging="360"/>
      </w:pPr>
      <w:r>
        <w:rPr>
          <w:rFonts w:ascii="Calibri" w:hAnsi="Calibri"/>
          <w:b/>
          <w:color w:val="525866"/>
          <w:sz w:val="22"/>
        </w:rPr>
        <w:t xml:space="preserve">Implication: </w:t>
      </w:r>
      <w:r>
        <w:rPr>
          <w:rFonts w:ascii="Calibri" w:hAnsi="Calibri"/>
          <w:color w:val="525866"/>
          <w:sz w:val="22"/>
        </w:rPr>
        <w:t>Neutral — the absence of upgrades despite the stock's 23% recovery suggests the Street is waiting for Q2 confirmation before re-rating.</w:t>
      </w:r>
    </w:p>
    <w:p>
      <w:r>
        <w:br w:type="page"/>
      </w:r>
    </w:p>
    <w:p>
      <w:pPr>
        <w:pStyle w:val="Heading2"/>
      </w:pPr>
      <w:r>
        <w:rPr>
          <w:rFonts w:ascii="Calibri" w:hAnsi="Calibri"/>
          <w:b/>
          <w:color w:val="3B4259"/>
          <w:sz w:val="28"/>
        </w:rPr>
        <w:t>8. Insider Transaction Activity</w:t>
      </w:r>
    </w:p>
    <w:p>
      <w:r>
        <w:rPr>
          <w:rFonts w:ascii="Calibri" w:hAnsi="Calibri"/>
          <w:b/>
          <w:color w:val="525866"/>
          <w:sz w:val="22"/>
        </w:rPr>
        <w:t xml:space="preserve">Key Takeaway: </w:t>
      </w:r>
      <w:r>
        <w:rPr>
          <w:rFonts w:ascii="Calibri" w:hAnsi="Calibri"/>
          <w:color w:val="525866"/>
          <w:sz w:val="22"/>
        </w:rPr>
        <w:t xml:space="preserve">The most notable signal is the </w:t>
      </w:r>
    </w:p>
    <w:p>
      <w:r>
        <w:rPr>
          <w:rFonts w:ascii="Calibri" w:hAnsi="Calibri"/>
          <w:b/>
          <w:color w:val="525866"/>
          <w:sz w:val="22"/>
        </w:rPr>
        <w:t>clustered open-market purchases by CEO Carl Hess and President of R&amp;B Lucy Clarke in early May at post-earnings lows (~$252–$256)</w:t>
      </w:r>
      <w:r>
        <w:rPr>
          <w:rFonts w:ascii="Calibri" w:hAnsi="Calibri"/>
          <w:color w:val="525866"/>
          <w:sz w:val="22"/>
        </w:rPr>
        <w:t xml:space="preserve"> — two of the most informed insiders buying at the trough is a strong conviction signal. All other transactions in the period are routine equity award grants (code A) or tax-withholding disposals (code F), which carry no informational value.</w:t>
      </w:r>
    </w:p>
    <w:tbl>
      <w:tblPr>
        <w:tblStyle w:val="TableGrid"/>
        <w:tblW w:type="auto" w:w="0"/>
        <w:tblLook w:firstColumn="1" w:firstRow="1" w:lastColumn="0" w:lastRow="0" w:noHBand="0" w:noVBand="1" w:val="04A0"/>
      </w:tblPr>
      <w:tblGrid>
        <w:gridCol w:w="1234"/>
        <w:gridCol w:w="1234"/>
        <w:gridCol w:w="1234"/>
        <w:gridCol w:w="1234"/>
        <w:gridCol w:w="1234"/>
        <w:gridCol w:w="1234"/>
        <w:gridCol w:w="1234"/>
      </w:tblGrid>
      <w:tr>
        <w:tc>
          <w:tcPr>
            <w:tcW w:type="dxa" w:w="1234"/>
            <w:shd w:val="clear" w:color="auto" w:fill="3B4259"/>
          </w:tcPr>
          <w:p>
            <w:r>
              <w:rPr>
                <w:rFonts w:ascii="Calibri" w:hAnsi="Calibri"/>
                <w:b/>
                <w:color w:val="FFFFFF"/>
                <w:sz w:val="22"/>
              </w:rPr>
              <w:t>Name</w:t>
            </w:r>
          </w:p>
        </w:tc>
        <w:tc>
          <w:tcPr>
            <w:tcW w:type="dxa" w:w="1234"/>
            <w:shd w:val="clear" w:color="auto" w:fill="3B4259"/>
          </w:tcPr>
          <w:p>
            <w:r>
              <w:rPr>
                <w:rFonts w:ascii="Calibri" w:hAnsi="Calibri"/>
                <w:b/>
                <w:color w:val="FFFFFF"/>
                <w:sz w:val="22"/>
              </w:rPr>
              <w:t>Title</w:t>
            </w:r>
          </w:p>
        </w:tc>
        <w:tc>
          <w:tcPr>
            <w:tcW w:type="dxa" w:w="1234"/>
            <w:shd w:val="clear" w:color="auto" w:fill="3B4259"/>
          </w:tcPr>
          <w:p>
            <w:r>
              <w:rPr>
                <w:rFonts w:ascii="Calibri" w:hAnsi="Calibri"/>
                <w:b/>
                <w:color w:val="FFFFFF"/>
                <w:sz w:val="22"/>
              </w:rPr>
              <w:t>Transaction Type</w:t>
            </w:r>
          </w:p>
        </w:tc>
        <w:tc>
          <w:tcPr>
            <w:tcW w:type="dxa" w:w="1234"/>
            <w:shd w:val="clear" w:color="auto" w:fill="3B4259"/>
          </w:tcPr>
          <w:p>
            <w:r>
              <w:rPr>
                <w:rFonts w:ascii="Calibri" w:hAnsi="Calibri"/>
                <w:b/>
                <w:color w:val="FFFFFF"/>
                <w:sz w:val="22"/>
              </w:rPr>
              <w:t>Shares</w:t>
            </w:r>
          </w:p>
        </w:tc>
        <w:tc>
          <w:tcPr>
            <w:tcW w:type="dxa" w:w="1234"/>
            <w:shd w:val="clear" w:color="auto" w:fill="3B4259"/>
          </w:tcPr>
          <w:p>
            <w:r>
              <w:rPr>
                <w:rFonts w:ascii="Calibri" w:hAnsi="Calibri"/>
                <w:b/>
                <w:color w:val="FFFFFF"/>
                <w:sz w:val="22"/>
              </w:rPr>
              <w:t>Est. Value</w:t>
            </w:r>
          </w:p>
        </w:tc>
        <w:tc>
          <w:tcPr>
            <w:tcW w:type="dxa" w:w="1234"/>
            <w:shd w:val="clear" w:color="auto" w:fill="3B4259"/>
          </w:tcPr>
          <w:p>
            <w:r>
              <w:rPr>
                <w:rFonts w:ascii="Calibri" w:hAnsi="Calibri"/>
                <w:b/>
                <w:color w:val="FFFFFF"/>
                <w:sz w:val="22"/>
              </w:rPr>
              <w:t>Date</w:t>
            </w:r>
          </w:p>
        </w:tc>
        <w:tc>
          <w:tcPr>
            <w:tcW w:type="dxa" w:w="1234"/>
            <w:shd w:val="clear" w:color="auto" w:fill="3B4259"/>
          </w:tcPr>
          <w:p>
            <w:r>
              <w:rPr>
                <w:rFonts w:ascii="Calibri" w:hAnsi="Calibri"/>
                <w:b/>
                <w:color w:val="FFFFFF"/>
                <w:sz w:val="22"/>
              </w:rPr>
              <w:t>Note</w:t>
            </w:r>
          </w:p>
        </w:tc>
      </w:tr>
      <w:tr>
        <w:tc>
          <w:tcPr>
            <w:tcW w:type="dxa" w:w="1234"/>
          </w:tcPr>
          <w:p>
            <w:r>
              <w:rPr>
                <w:rFonts w:ascii="Calibri" w:hAnsi="Calibri"/>
                <w:sz w:val="22"/>
              </w:rPr>
              <w:t>Carl Hess</w:t>
            </w:r>
          </w:p>
        </w:tc>
        <w:tc>
          <w:tcPr>
            <w:tcW w:type="dxa" w:w="1234"/>
          </w:tcPr>
          <w:p>
            <w:r>
              <w:rPr>
                <w:rFonts w:ascii="Calibri" w:hAnsi="Calibri"/>
                <w:sz w:val="22"/>
              </w:rPr>
              <w:t>CEO &amp; Director</w:t>
            </w:r>
          </w:p>
        </w:tc>
        <w:tc>
          <w:tcPr>
            <w:tcW w:type="dxa" w:w="1234"/>
          </w:tcPr>
          <w:p>
            <w:r>
              <w:rPr>
                <w:rFonts w:ascii="Calibri" w:hAnsi="Calibri"/>
                <w:b/>
                <w:color w:val="30A46C"/>
                <w:sz w:val="22"/>
              </w:rPr>
              <w:t>Open Market Buy</w:t>
            </w:r>
          </w:p>
        </w:tc>
        <w:tc>
          <w:tcPr>
            <w:tcW w:type="dxa" w:w="1234"/>
          </w:tcPr>
          <w:p>
            <w:r>
              <w:rPr>
                <w:rFonts w:ascii="Calibri" w:hAnsi="Calibri"/>
                <w:sz w:val="22"/>
              </w:rPr>
              <w:t>2,000</w:t>
            </w:r>
          </w:p>
        </w:tc>
        <w:tc>
          <w:tcPr>
            <w:tcW w:type="dxa" w:w="1234"/>
          </w:tcPr>
          <w:p>
            <w:r>
              <w:rPr>
                <w:rFonts w:ascii="Calibri" w:hAnsi="Calibri"/>
                <w:sz w:val="22"/>
              </w:rPr>
              <w:t>~$512K</w:t>
            </w:r>
          </w:p>
        </w:tc>
        <w:tc>
          <w:tcPr>
            <w:tcW w:type="dxa" w:w="1234"/>
          </w:tcPr>
          <w:p>
            <w:r>
              <w:rPr>
                <w:rFonts w:ascii="Calibri" w:hAnsi="Calibri"/>
                <w:sz w:val="22"/>
              </w:rPr>
              <w:t>May 4, 2026</w:t>
            </w:r>
          </w:p>
        </w:tc>
        <w:tc>
          <w:tcPr>
            <w:tcW w:type="dxa" w:w="1234"/>
          </w:tcPr>
          <w:p>
            <w:r>
              <w:rPr>
                <w:rFonts w:ascii="Calibri" w:hAnsi="Calibri"/>
                <w:sz w:val="22"/>
              </w:rPr>
              <w:t>Discretionary purchase at post-earnings low (~$256/share); strong conviction signal from CEO</w:t>
            </w:r>
          </w:p>
        </w:tc>
      </w:tr>
      <w:tr>
        <w:tc>
          <w:tcPr>
            <w:tcW w:type="dxa" w:w="1234"/>
          </w:tcPr>
          <w:p>
            <w:r>
              <w:rPr>
                <w:rFonts w:ascii="Calibri" w:hAnsi="Calibri"/>
                <w:sz w:val="22"/>
              </w:rPr>
              <w:t>Lucy Clarke</w:t>
            </w:r>
          </w:p>
        </w:tc>
        <w:tc>
          <w:tcPr>
            <w:tcW w:type="dxa" w:w="1234"/>
          </w:tcPr>
          <w:p>
            <w:r>
              <w:rPr>
                <w:rFonts w:ascii="Calibri" w:hAnsi="Calibri"/>
                <w:sz w:val="22"/>
              </w:rPr>
              <w:t>President, Risk &amp; Broking</w:t>
            </w:r>
          </w:p>
        </w:tc>
        <w:tc>
          <w:tcPr>
            <w:tcW w:type="dxa" w:w="1234"/>
          </w:tcPr>
          <w:p>
            <w:r>
              <w:rPr>
                <w:rFonts w:ascii="Calibri" w:hAnsi="Calibri"/>
                <w:b/>
                <w:color w:val="30A46C"/>
                <w:sz w:val="22"/>
              </w:rPr>
              <w:t>Open Market Buy</w:t>
            </w:r>
          </w:p>
        </w:tc>
        <w:tc>
          <w:tcPr>
            <w:tcW w:type="dxa" w:w="1234"/>
          </w:tcPr>
          <w:p>
            <w:r>
              <w:rPr>
                <w:rFonts w:ascii="Calibri" w:hAnsi="Calibri"/>
                <w:sz w:val="22"/>
              </w:rPr>
              <w:t>1,896</w:t>
            </w:r>
          </w:p>
        </w:tc>
        <w:tc>
          <w:tcPr>
            <w:tcW w:type="dxa" w:w="1234"/>
          </w:tcPr>
          <w:p>
            <w:r>
              <w:rPr>
                <w:rFonts w:ascii="Calibri" w:hAnsi="Calibri"/>
                <w:sz w:val="22"/>
              </w:rPr>
              <w:t>~$478K</w:t>
            </w:r>
          </w:p>
        </w:tc>
        <w:tc>
          <w:tcPr>
            <w:tcW w:type="dxa" w:w="1234"/>
          </w:tcPr>
          <w:p>
            <w:r>
              <w:rPr>
                <w:rFonts w:ascii="Calibri" w:hAnsi="Calibri"/>
                <w:sz w:val="22"/>
              </w:rPr>
              <w:t>May 6, 2026</w:t>
            </w:r>
          </w:p>
        </w:tc>
        <w:tc>
          <w:tcPr>
            <w:tcW w:type="dxa" w:w="1234"/>
          </w:tcPr>
          <w:p>
            <w:r>
              <w:rPr>
                <w:rFonts w:ascii="Calibri" w:hAnsi="Calibri"/>
                <w:sz w:val="22"/>
              </w:rPr>
              <w:t>Discretionary purchase by head of the most-scrutinized segment (CRB) at post-earnings lows (~$252/share); highly notable given CRB was the source of Q1 miss</w:t>
            </w:r>
          </w:p>
        </w:tc>
      </w:tr>
      <w:tr>
        <w:tc>
          <w:tcPr>
            <w:tcW w:type="dxa" w:w="1234"/>
          </w:tcPr>
          <w:p>
            <w:r>
              <w:rPr>
                <w:rFonts w:ascii="Calibri" w:hAnsi="Calibri"/>
                <w:sz w:val="22"/>
              </w:rPr>
              <w:t>Multiple Directors (7)</w:t>
            </w:r>
          </w:p>
        </w:tc>
        <w:tc>
          <w:tcPr>
            <w:tcW w:type="dxa" w:w="1234"/>
          </w:tcPr>
          <w:p>
            <w:r>
              <w:rPr>
                <w:rFonts w:ascii="Calibri" w:hAnsi="Calibri"/>
                <w:sz w:val="22"/>
              </w:rPr>
              <w:t>Board Directors</w:t>
            </w:r>
          </w:p>
        </w:tc>
        <w:tc>
          <w:tcPr>
            <w:tcW w:type="dxa" w:w="1234"/>
          </w:tcPr>
          <w:p>
            <w:r>
              <w:rPr>
                <w:rFonts w:ascii="Calibri" w:hAnsi="Calibri"/>
                <w:sz w:val="22"/>
              </w:rPr>
              <w:t>Tax Withholding Disposal (Code F)</w:t>
            </w:r>
          </w:p>
        </w:tc>
        <w:tc>
          <w:tcPr>
            <w:tcW w:type="dxa" w:w="1234"/>
          </w:tcPr>
          <w:p>
            <w:r>
              <w:rPr>
                <w:rFonts w:ascii="Calibri" w:hAnsi="Calibri"/>
                <w:sz w:val="22"/>
              </w:rPr>
              <w:t>~341–534 shares each</w:t>
            </w:r>
          </w:p>
        </w:tc>
        <w:tc>
          <w:tcPr>
            <w:tcW w:type="dxa" w:w="1234"/>
          </w:tcPr>
          <w:p>
            <w:r>
              <w:rPr>
                <w:rFonts w:ascii="Calibri" w:hAnsi="Calibri"/>
                <w:sz w:val="22"/>
              </w:rPr>
              <w:t>~$85K–$135K each</w:t>
            </w:r>
          </w:p>
        </w:tc>
        <w:tc>
          <w:tcPr>
            <w:tcW w:type="dxa" w:w="1234"/>
          </w:tcPr>
          <w:p>
            <w:r>
              <w:rPr>
                <w:rFonts w:ascii="Calibri" w:hAnsi="Calibri"/>
                <w:sz w:val="22"/>
              </w:rPr>
              <w:t>May 15, 2026</w:t>
            </w:r>
          </w:p>
        </w:tc>
        <w:tc>
          <w:tcPr>
            <w:tcW w:type="dxa" w:w="1234"/>
          </w:tcPr>
          <w:p>
            <w:r>
              <w:rPr>
                <w:rFonts w:ascii="Calibri" w:hAnsi="Calibri"/>
                <w:sz w:val="22"/>
              </w:rPr>
              <w:t>Routine tax withholding on equity award vesting; no informational value</w:t>
            </w:r>
          </w:p>
        </w:tc>
      </w:tr>
      <w:tr>
        <w:tc>
          <w:tcPr>
            <w:tcW w:type="dxa" w:w="1234"/>
          </w:tcPr>
          <w:p>
            <w:r>
              <w:rPr>
                <w:rFonts w:ascii="Calibri" w:hAnsi="Calibri"/>
                <w:sz w:val="22"/>
              </w:rPr>
              <w:t>Multiple Directors (7)</w:t>
            </w:r>
          </w:p>
        </w:tc>
        <w:tc>
          <w:tcPr>
            <w:tcW w:type="dxa" w:w="1234"/>
          </w:tcPr>
          <w:p>
            <w:r>
              <w:rPr>
                <w:rFonts w:ascii="Calibri" w:hAnsi="Calibri"/>
                <w:sz w:val="22"/>
              </w:rPr>
              <w:t>Board Directors</w:t>
            </w:r>
          </w:p>
        </w:tc>
        <w:tc>
          <w:tcPr>
            <w:tcW w:type="dxa" w:w="1234"/>
          </w:tcPr>
          <w:p>
            <w:r>
              <w:rPr>
                <w:rFonts w:ascii="Calibri" w:hAnsi="Calibri"/>
                <w:sz w:val="22"/>
              </w:rPr>
              <w:t>Equity Award Grant (Code A)</w:t>
            </w:r>
          </w:p>
        </w:tc>
        <w:tc>
          <w:tcPr>
            <w:tcW w:type="dxa" w:w="1234"/>
          </w:tcPr>
          <w:p>
            <w:r>
              <w:rPr>
                <w:rFonts w:ascii="Calibri" w:hAnsi="Calibri"/>
                <w:sz w:val="22"/>
              </w:rPr>
              <w:t>~925–1,417 shares each</w:t>
            </w:r>
          </w:p>
        </w:tc>
        <w:tc>
          <w:tcPr>
            <w:tcW w:type="dxa" w:w="1234"/>
          </w:tcPr>
          <w:p>
            <w:r>
              <w:rPr>
                <w:rFonts w:ascii="Calibri" w:hAnsi="Calibri"/>
                <w:sz w:val="22"/>
              </w:rPr>
              <w:t>~$230K–$355K each</w:t>
            </w:r>
          </w:p>
        </w:tc>
        <w:tc>
          <w:tcPr>
            <w:tcW w:type="dxa" w:w="1234"/>
          </w:tcPr>
          <w:p>
            <w:r>
              <w:rPr>
                <w:rFonts w:ascii="Calibri" w:hAnsi="Calibri"/>
                <w:sz w:val="22"/>
              </w:rPr>
              <w:t>May 20, 2026</w:t>
            </w:r>
          </w:p>
        </w:tc>
        <w:tc>
          <w:tcPr>
            <w:tcW w:type="dxa" w:w="1234"/>
          </w:tcPr>
          <w:p>
            <w:r>
              <w:rPr>
                <w:rFonts w:ascii="Calibri" w:hAnsi="Calibri"/>
                <w:sz w:val="22"/>
              </w:rPr>
              <w:t>Routine annual director equity compensation grants; no informational value</w:t>
            </w:r>
          </w:p>
        </w:tc>
      </w:tr>
      <w:tr>
        <w:tc>
          <w:tcPr>
            <w:tcW w:type="dxa" w:w="1234"/>
          </w:tcPr>
          <w:p>
            <w:r>
              <w:rPr>
                <w:rFonts w:ascii="Calibri" w:hAnsi="Calibri"/>
                <w:sz w:val="22"/>
              </w:rPr>
              <w:t>Multiple Executives (9)</w:t>
            </w:r>
          </w:p>
        </w:tc>
        <w:tc>
          <w:tcPr>
            <w:tcW w:type="dxa" w:w="1234"/>
          </w:tcPr>
          <w:p>
            <w:r>
              <w:rPr>
                <w:rFonts w:ascii="Calibri" w:hAnsi="Calibri"/>
                <w:sz w:val="22"/>
              </w:rPr>
              <w:t>C-Suite &amp; Senior Officers</w:t>
            </w:r>
          </w:p>
        </w:tc>
        <w:tc>
          <w:tcPr>
            <w:tcW w:type="dxa" w:w="1234"/>
          </w:tcPr>
          <w:p>
            <w:r>
              <w:rPr>
                <w:rFonts w:ascii="Calibri" w:hAnsi="Calibri"/>
                <w:sz w:val="22"/>
              </w:rPr>
              <w:t>Equity Award Grant (Code A)</w:t>
            </w:r>
          </w:p>
        </w:tc>
        <w:tc>
          <w:tcPr>
            <w:tcW w:type="dxa" w:w="1234"/>
          </w:tcPr>
          <w:p>
            <w:r>
              <w:rPr>
                <w:rFonts w:ascii="Calibri" w:hAnsi="Calibri"/>
                <w:sz w:val="22"/>
              </w:rPr>
              <w:t>Varies (RSUs + shares)</w:t>
            </w:r>
          </w:p>
        </w:tc>
        <w:tc>
          <w:tcPr>
            <w:tcW w:type="dxa" w:w="1234"/>
          </w:tcPr>
          <w:p>
            <w:r>
              <w:rPr>
                <w:rFonts w:ascii="Calibri" w:hAnsi="Calibri"/>
                <w:sz w:val="22"/>
              </w:rPr>
              <w:t>N/A (RSU grants)</w:t>
            </w:r>
          </w:p>
        </w:tc>
        <w:tc>
          <w:tcPr>
            <w:tcW w:type="dxa" w:w="1234"/>
          </w:tcPr>
          <w:p>
            <w:r>
              <w:rPr>
                <w:rFonts w:ascii="Calibri" w:hAnsi="Calibri"/>
                <w:sz w:val="22"/>
              </w:rPr>
              <w:t>July 10–15, 2026</w:t>
            </w:r>
          </w:p>
        </w:tc>
        <w:tc>
          <w:tcPr>
            <w:tcW w:type="dxa" w:w="1234"/>
          </w:tcPr>
          <w:p>
            <w:r>
              <w:rPr>
                <w:rFonts w:ascii="Calibri" w:hAnsi="Calibri"/>
                <w:sz w:val="22"/>
              </w:rPr>
              <w:t>Routine annual executive equity compensation grants (RSUs and performance shares); no informational value</w:t>
            </w:r>
          </w:p>
        </w:tc>
      </w:tr>
    </w:tbl>
    <w:p>
      <w:r>
        <w:rPr>
          <w:rFonts w:ascii="Calibri" w:hAnsi="Calibri"/>
          <w:i/>
          <w:color w:val="525866"/>
          <w:sz w:val="22"/>
        </w:rPr>
        <w:t>Source: Insider Transaction Data (SEC Form 4 filings).</w:t>
      </w:r>
      <w:r>
        <w:rPr>
          <w:rFonts w:ascii="Calibri" w:hAnsi="Calibri"/>
          <w:color w:val="525866"/>
          <w:sz w:val="22"/>
        </w:rPr>
        <w:t xml:space="preserve"> No open-market sales were identified in the period since Q1 2026 earnings. The only discretionary open-market purchases were by CEO Carl Hess and President of R&amp;B Lucy Clarke in early May at post-earnings lows — a meaningful signal given Clarke heads the segment that drove the Q1 miss. All July transactions are routine annual equity award grants (Code A) with no informational value. No 10b5-1 plan initiations were identified in the period.</w:t>
      </w:r>
    </w:p>
    <w:p>
      <w:r>
        <w:rPr>
          <w:rFonts w:ascii="Calibri" w:hAnsi="Calibri"/>
          <w:b/>
          <w:i/>
          <w:color w:val="525866"/>
          <w:sz w:val="22"/>
        </w:rPr>
        <w:t>— End of Document —</w:t>
      </w:r>
    </w:p>
    <w:sectPr w:rsidR="00FC693F" w:rsidRPr="0006063C" w:rsidSect="00034616">
      <w:headerReference w:type="default" r:id="rId10"/>
      <w:footerReference w:type="default" r:id="rId1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rPr>
        <w:rFonts w:ascii="Calibri" w:hAnsi="Calibri"/>
        <w:i/>
        <w:color w:val="525866"/>
        <w:sz w:val="20"/>
      </w:rPr>
      <w:t>We do the work, you make the call</w:t>
    </w:r>
    <w:r>
      <w:tab/>
    </w:r>
    <w:r>
      <w:rPr>
        <w:rFonts w:ascii="Calibri" w:hAnsi="Calibri"/>
        <w:i/>
        <w:color w:val="FB9120"/>
        <w:sz w:val="20"/>
      </w:rPr>
      <w:t>app.implied.com/trial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drawing>
        <wp:inline xmlns:a="http://schemas.openxmlformats.org/drawingml/2006/main" xmlns:pic="http://schemas.openxmlformats.org/drawingml/2006/picture">
          <wp:extent cx="5486400" cy="274320"/>
          <wp:docPr id="1" name="Picture 1"/>
          <wp:cNvGraphicFramePr>
            <a:graphicFrameLocks noChangeAspect="1"/>
          </wp:cNvGraphicFramePr>
          <a:graphic>
            <a:graphicData uri="http://schemas.openxmlformats.org/drawingml/2006/picture">
              <pic:pic>
                <pic:nvPicPr>
                  <pic:cNvPr id="0" name="ImpliedPromotionalHeader.png"/>
                  <pic:cNvPicPr/>
                </pic:nvPicPr>
                <pic:blipFill>
                  <a:blip r:embed="rId1"/>
                  <a:stretch>
                    <a:fillRect/>
                  </a:stretch>
                </pic:blipFill>
                <pic:spPr>
                  <a:xfrm>
                    <a:off x="0" y="0"/>
                    <a:ext cx="5486400" cy="27432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