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Willis Towers Watson (WTW)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Willis Towers Watson Public Limited Company</w:t>
            </w:r>
          </w:p>
        </w:tc>
      </w:tr>
      <w:tr>
        <w:tc>
          <w:tcPr>
            <w:tcW w:type="dxa" w:w="4320"/>
          </w:tcPr>
          <w:p>
            <w:r>
              <w:rPr>
                <w:rFonts w:ascii="Calibri" w:hAnsi="Calibri"/>
                <w:b/>
                <w:sz w:val="22"/>
              </w:rPr>
              <w:t>Ticker</w:t>
            </w:r>
          </w:p>
        </w:tc>
        <w:tc>
          <w:tcPr>
            <w:tcW w:type="dxa" w:w="4320"/>
          </w:tcPr>
          <w:p>
            <w:r>
              <w:rPr>
                <w:rFonts w:ascii="Calibri" w:hAnsi="Calibri"/>
                <w:sz w:val="22"/>
              </w:rPr>
              <w:t>WTW US</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Date</w:t>
            </w:r>
          </w:p>
        </w:tc>
        <w:tc>
          <w:tcPr>
            <w:tcW w:type="dxa" w:w="4320"/>
          </w:tcPr>
          <w:p>
            <w:r>
              <w:rPr>
                <w:rFonts w:ascii="Calibri" w:hAnsi="Calibri"/>
                <w:sz w:val="22"/>
              </w:rPr>
              <w:t>July 30, 2026 — 9:00 AM ET</w:t>
            </w:r>
          </w:p>
        </w:tc>
      </w:tr>
      <w:tr>
        <w:tc>
          <w:tcPr>
            <w:tcW w:type="dxa" w:w="4320"/>
          </w:tcPr>
          <w:p>
            <w:r>
              <w:rPr>
                <w:rFonts w:ascii="Calibri" w:hAnsi="Calibri"/>
                <w:b/>
                <w:sz w:val="22"/>
              </w:rPr>
              <w:t>Prepared</w:t>
            </w:r>
          </w:p>
        </w:tc>
        <w:tc>
          <w:tcPr>
            <w:tcW w:type="dxa" w:w="4320"/>
          </w:tcPr>
          <w:p>
            <w:r>
              <w:rPr>
                <w:rFonts w:ascii="Calibri" w:hAnsi="Calibri"/>
                <w:sz w:val="22"/>
              </w:rPr>
              <w:t>July 29, 2026</w:t>
            </w:r>
          </w:p>
        </w:tc>
      </w:tr>
      <w:tr>
        <w:tc>
          <w:tcPr>
            <w:tcW w:type="dxa" w:w="4320"/>
          </w:tcPr>
          <w:p>
            <w:r>
              <w:rPr>
                <w:rFonts w:ascii="Calibri" w:hAnsi="Calibri"/>
                <w:b/>
                <w:sz w:val="22"/>
              </w:rPr>
              <w:t>Last Earnings</w:t>
            </w:r>
          </w:p>
        </w:tc>
        <w:tc>
          <w:tcPr>
            <w:tcW w:type="dxa" w:w="4320"/>
          </w:tcPr>
          <w:p>
            <w:r>
              <w:rPr>
                <w:rFonts w:ascii="Calibri" w:hAnsi="Calibri"/>
                <w:sz w:val="22"/>
              </w:rPr>
              <w:t>April 30, 2026 (Q1 2026)</w:t>
            </w:r>
          </w:p>
        </w:tc>
      </w:tr>
    </w:tbl>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The setup is cautiously constructive — consensus has been revised down since the Q1 miss, creating a lower bar, but the single biggest swing factor is whether R&amp;B organic growth has genuinely re-accelerated to mid-single digits as management signaled in April, or whether macro and competitive headwinds persist into Q2.</w:t>
      </w:r>
    </w:p>
    <w:p>
      <w:r>
        <w:rPr>
          <w:rFonts w:ascii="Calibri" w:hAnsi="Calibri"/>
          <w:color w:val="525866"/>
          <w:sz w:val="22"/>
        </w:rPr>
        <w:t xml:space="preserve">Heading into WTW's Q2 2026 print, the bar is meaningfully lower than it was three months ago: consensus organic growth sits at ~3.7% (vs. the 4.8% expected pre-Q1) and adjusted EPS consensus of $3.11 is down from $3.66 at the time of the Q1 print, reflecting the market's reset after the April 30 revenue miss and guidance narrowing. </w:t>
      </w:r>
      <w:r>
        <w:rPr>
          <w:rFonts w:ascii="Calibri" w:hAnsi="Calibri"/>
          <w:color w:val="525866"/>
          <w:sz w:val="22"/>
        </w:rPr>
        <w:t xml:space="preserve">Management's posture on the Q1 call was cautiously optimistic — CEO Carl Hess and R&amp;B President Lucy Clarke explicitly flagged that April returned to "mid-single digit or better" normalized growth, providing the key forward signal that underpins the full-year mid-single-digit R&amp;B guidance. </w:t>
      </w:r>
      <w:r>
        <w:rPr>
          <w:rFonts w:ascii="Calibri" w:hAnsi="Calibri"/>
          <w:color w:val="525866"/>
          <w:sz w:val="22"/>
        </w:rPr>
        <w:t xml:space="preserve">Estimate revisions have stabilized after a sharp post-Q1 downward move, with the July consensus essentially flat to June, suggesting the Street has largely digested the reset and is not pricing in further deterioration. </w:t>
      </w:r>
      <w:r>
        <w:rPr>
          <w:rFonts w:ascii="Calibri" w:hAnsi="Calibri"/>
          <w:color w:val="525866"/>
          <w:sz w:val="22"/>
        </w:rPr>
        <w:t xml:space="preserve">The stock has recovered sharply — up ~23% from its post-Q1 low near $242 to ~$316 as of July 28 — driven almost entirely by multiple re-expansion rather than estimate upgrades, meaning the stock has re-rated ahead of fundamental confirmation and leaves limited room for disappointment. </w:t>
      </w:r>
      <w:r>
        <w:rPr>
          <w:rFonts w:ascii="Calibri" w:hAnsi="Calibri"/>
          <w:color w:val="525866"/>
          <w:sz w:val="22"/>
        </w:rPr>
        <w:t>The key wildcard is the Middle East geopolitical situation: if Career and international broking headwinds have moderated as management expected, WTW could deliver a clean beat; if disruption persisted through June, the HWC segment could again disappoint even as R&amp;B recovers.</w:t>
      </w:r>
    </w:p>
    <w:p>
      <w:r>
        <w:br w:type="page"/>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has been reset to a lower bar post-Q1, with organic growth expectations at ~3.7% vs. management's mid-single-digit full-year target. </w:t>
      </w:r>
      <w:r>
        <w:rPr>
          <w:rFonts w:ascii="Calibri" w:hAnsi="Calibri"/>
          <w:color w:val="525866"/>
          <w:sz w:val="22"/>
        </w:rPr>
        <w:t>R&amp;B organic growth is the bigger swing factor — a return to mid-single digits would confirm management's April signal and likely drive a positive stock reaction; a second consecutive miss would raise serious questions about the growth trajectory.</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 (Est.)</w:t>
            </w:r>
          </w:p>
        </w:tc>
        <w:tc>
          <w:tcPr>
            <w:tcW w:type="dxa" w:w="1234"/>
            <w:shd w:val="clear" w:color="auto" w:fill="3B4259"/>
          </w:tcPr>
          <w:p>
            <w:r>
              <w:rPr>
                <w:rFonts w:ascii="Calibri" w:hAnsi="Calibri"/>
                <w:b/>
                <w:color w:val="FFFFFF"/>
                <w:sz w:val="22"/>
              </w:rPr>
              <w:t>FY2026 Guidance</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Total Revenue ($M)</w:t>
            </w:r>
          </w:p>
        </w:tc>
        <w:tc>
          <w:tcPr>
            <w:tcW w:type="dxa" w:w="1234"/>
          </w:tcPr>
          <w:p>
            <w:r>
              <w:rPr>
                <w:rFonts w:ascii="Calibri" w:hAnsi="Calibri"/>
                <w:sz w:val="22"/>
              </w:rPr>
              <w:t>$2,412</w:t>
            </w:r>
          </w:p>
        </w:tc>
        <w:tc>
          <w:tcPr>
            <w:tcW w:type="dxa" w:w="1234"/>
          </w:tcPr>
          <w:p>
            <w:r>
              <w:rPr>
                <w:rFonts w:ascii="Calibri" w:hAnsi="Calibri"/>
                <w:sz w:val="22"/>
              </w:rPr>
              <w:t>$2,261</w:t>
            </w:r>
          </w:p>
        </w:tc>
        <w:tc>
          <w:tcPr>
            <w:tcW w:type="dxa" w:w="1234"/>
          </w:tcPr>
          <w:p>
            <w:r>
              <w:rPr>
                <w:rFonts w:ascii="Calibri" w:hAnsi="Calibri"/>
                <w:sz w:val="22"/>
              </w:rPr>
              <w:t>$2,424</w:t>
            </w:r>
          </w:p>
        </w:tc>
        <w:tc>
          <w:tcPr>
            <w:tcW w:type="dxa" w:w="1234"/>
          </w:tcPr>
          <w:p>
            <w:r>
              <w:rPr>
                <w:rFonts w:ascii="Calibri" w:hAnsi="Calibri"/>
                <w:sz w:val="22"/>
              </w:rPr>
              <w:t>+7.2%</w:t>
            </w:r>
          </w:p>
        </w:tc>
        <w:tc>
          <w:tcPr>
            <w:tcW w:type="dxa" w:w="1234"/>
          </w:tcPr>
          <w:p>
            <w:r>
              <w:rPr>
                <w:rFonts w:ascii="Calibri" w:hAnsi="Calibri"/>
                <w:sz w:val="22"/>
              </w:rPr>
              <w:t>Mid-single-digit organic growth</w:t>
            </w:r>
          </w:p>
        </w:tc>
        <w:tc>
          <w:tcPr>
            <w:tcW w:type="dxa" w:w="1234"/>
          </w:tcPr>
          <w:p>
            <w:r>
              <w:rPr>
                <w:rFonts w:ascii="Calibri" w:hAnsi="Calibri"/>
                <w:sz w:val="22"/>
              </w:rPr>
              <w:t>In line</w:t>
            </w:r>
          </w:p>
        </w:tc>
      </w:tr>
      <w:tr>
        <w:tc>
          <w:tcPr>
            <w:tcW w:type="dxa" w:w="1234"/>
          </w:tcPr>
          <w:p>
            <w:r>
              <w:rPr>
                <w:rFonts w:ascii="Calibri" w:hAnsi="Calibri"/>
                <w:sz w:val="22"/>
              </w:rPr>
              <w:t>Organic Revenue Growth (%)</w:t>
            </w:r>
          </w:p>
        </w:tc>
        <w:tc>
          <w:tcPr>
            <w:tcW w:type="dxa" w:w="1234"/>
          </w:tcPr>
          <w:p>
            <w:r>
              <w:rPr>
                <w:rFonts w:ascii="Calibri" w:hAnsi="Calibri"/>
                <w:sz w:val="22"/>
              </w:rPr>
              <w:t>3.0%</w:t>
            </w:r>
          </w:p>
        </w:tc>
        <w:tc>
          <w:tcPr>
            <w:tcW w:type="dxa" w:w="1234"/>
          </w:tcPr>
          <w:p>
            <w:r>
              <w:rPr>
                <w:rFonts w:ascii="Calibri" w:hAnsi="Calibri"/>
                <w:sz w:val="22"/>
              </w:rPr>
              <w:t>5.0%</w:t>
            </w:r>
          </w:p>
        </w:tc>
        <w:tc>
          <w:tcPr>
            <w:tcW w:type="dxa" w:w="1234"/>
          </w:tcPr>
          <w:p>
            <w:r>
              <w:rPr>
                <w:rFonts w:ascii="Calibri" w:hAnsi="Calibri"/>
                <w:sz w:val="22"/>
              </w:rPr>
              <w:t>~3.7%</w:t>
            </w:r>
          </w:p>
        </w:tc>
        <w:tc>
          <w:tcPr>
            <w:tcW w:type="dxa" w:w="1234"/>
          </w:tcPr>
          <w:p>
            <w:r>
              <w:rPr>
                <w:rFonts w:ascii="Calibri" w:hAnsi="Calibri"/>
                <w:sz w:val="22"/>
              </w:rPr>
              <w:t>-130 bps YoY</w:t>
            </w:r>
          </w:p>
        </w:tc>
        <w:tc>
          <w:tcPr>
            <w:tcW w:type="dxa" w:w="1234"/>
          </w:tcPr>
          <w:p>
            <w:r>
              <w:rPr>
                <w:rFonts w:ascii="Calibri" w:hAnsi="Calibri"/>
                <w:sz w:val="22"/>
              </w:rPr>
              <w:t>Mid-single digits (FY)</w:t>
            </w:r>
          </w:p>
        </w:tc>
        <w:tc>
          <w:tcPr>
            <w:tcW w:type="dxa" w:w="1234"/>
          </w:tcPr>
          <w:p>
            <w:r>
              <w:rPr>
                <w:rFonts w:ascii="Calibri" w:hAnsi="Calibri"/>
                <w:sz w:val="22"/>
              </w:rPr>
              <w:t>Below midpoint</w:t>
            </w:r>
          </w:p>
        </w:tc>
      </w:tr>
      <w:tr>
        <w:tc>
          <w:tcPr>
            <w:tcW w:type="dxa" w:w="1234"/>
          </w:tcPr>
          <w:p>
            <w:r>
              <w:rPr>
                <w:rFonts w:ascii="Calibri" w:hAnsi="Calibri"/>
                <w:sz w:val="22"/>
              </w:rPr>
              <w:t>R&amp;B Revenue ($M)</w:t>
            </w:r>
          </w:p>
        </w:tc>
        <w:tc>
          <w:tcPr>
            <w:tcW w:type="dxa" w:w="1234"/>
          </w:tcPr>
          <w:p>
            <w:r>
              <w:rPr>
                <w:rFonts w:ascii="Calibri" w:hAnsi="Calibri"/>
                <w:sz w:val="22"/>
              </w:rPr>
              <w:t>$1,116</w:t>
            </w:r>
          </w:p>
        </w:tc>
        <w:tc>
          <w:tcPr>
            <w:tcW w:type="dxa" w:w="1234"/>
          </w:tcPr>
          <w:p>
            <w:r>
              <w:rPr>
                <w:rFonts w:ascii="Calibri" w:hAnsi="Calibri"/>
                <w:sz w:val="22"/>
              </w:rPr>
              <w:t>$1,047</w:t>
            </w:r>
          </w:p>
        </w:tc>
        <w:tc>
          <w:tcPr>
            <w:tcW w:type="dxa" w:w="1234"/>
          </w:tcPr>
          <w:p>
            <w:r>
              <w:rPr>
                <w:rFonts w:ascii="Calibri" w:hAnsi="Calibri"/>
                <w:sz w:val="22"/>
              </w:rPr>
              <w:t>$1,135</w:t>
            </w:r>
          </w:p>
        </w:tc>
        <w:tc>
          <w:tcPr>
            <w:tcW w:type="dxa" w:w="1234"/>
          </w:tcPr>
          <w:p>
            <w:r>
              <w:rPr>
                <w:rFonts w:ascii="Calibri" w:hAnsi="Calibri"/>
                <w:sz w:val="22"/>
              </w:rPr>
              <w:t>+8.4%</w:t>
            </w:r>
          </w:p>
        </w:tc>
        <w:tc>
          <w:tcPr>
            <w:tcW w:type="dxa" w:w="1234"/>
          </w:tcPr>
          <w:p>
            <w:r>
              <w:rPr>
                <w:rFonts w:ascii="Calibri" w:hAnsi="Calibri"/>
                <w:sz w:val="22"/>
              </w:rPr>
              <w:t>Mid-single-digit organic (CRB)</w:t>
            </w:r>
          </w:p>
        </w:tc>
        <w:tc>
          <w:tcPr>
            <w:tcW w:type="dxa" w:w="1234"/>
          </w:tcPr>
          <w:p>
            <w:r>
              <w:rPr>
                <w:rFonts w:ascii="Calibri" w:hAnsi="Calibri"/>
                <w:sz w:val="22"/>
              </w:rPr>
              <w:t>In line</w:t>
            </w:r>
          </w:p>
        </w:tc>
      </w:tr>
      <w:tr>
        <w:tc>
          <w:tcPr>
            <w:tcW w:type="dxa" w:w="1234"/>
          </w:tcPr>
          <w:p>
            <w:r>
              <w:rPr>
                <w:rFonts w:ascii="Calibri" w:hAnsi="Calibri"/>
                <w:sz w:val="22"/>
              </w:rPr>
              <w:t>HWC Revenue ($M)</w:t>
            </w:r>
          </w:p>
        </w:tc>
        <w:tc>
          <w:tcPr>
            <w:tcW w:type="dxa" w:w="1234"/>
          </w:tcPr>
          <w:p>
            <w:r>
              <w:rPr>
                <w:rFonts w:ascii="Calibri" w:hAnsi="Calibri"/>
                <w:sz w:val="22"/>
              </w:rPr>
              <w:t>$1,265</w:t>
            </w:r>
          </w:p>
        </w:tc>
        <w:tc>
          <w:tcPr>
            <w:tcW w:type="dxa" w:w="1234"/>
          </w:tcPr>
          <w:p>
            <w:r>
              <w:rPr>
                <w:rFonts w:ascii="Calibri" w:hAnsi="Calibri"/>
                <w:sz w:val="22"/>
              </w:rPr>
              <w:t>$1,180</w:t>
            </w:r>
          </w:p>
        </w:tc>
        <w:tc>
          <w:tcPr>
            <w:tcW w:type="dxa" w:w="1234"/>
          </w:tcPr>
          <w:p>
            <w:r>
              <w:rPr>
                <w:rFonts w:ascii="Calibri" w:hAnsi="Calibri"/>
                <w:sz w:val="22"/>
              </w:rPr>
              <w:t>$1,259</w:t>
            </w:r>
          </w:p>
        </w:tc>
        <w:tc>
          <w:tcPr>
            <w:tcW w:type="dxa" w:w="1234"/>
          </w:tcPr>
          <w:p>
            <w:r>
              <w:rPr>
                <w:rFonts w:ascii="Calibri" w:hAnsi="Calibri"/>
                <w:sz w:val="22"/>
              </w:rPr>
              <w:t>+6.7%</w:t>
            </w:r>
          </w:p>
        </w:tc>
        <w:tc>
          <w:tcPr>
            <w:tcW w:type="dxa" w:w="1234"/>
          </w:tcPr>
          <w:p>
            <w:r>
              <w:rPr>
                <w:rFonts w:ascii="Calibri" w:hAnsi="Calibri"/>
                <w:sz w:val="22"/>
              </w:rPr>
              <w:t>Mid-single-digit organic (HWC)</w:t>
            </w:r>
          </w:p>
        </w:tc>
        <w:tc>
          <w:tcPr>
            <w:tcW w:type="dxa" w:w="1234"/>
          </w:tcPr>
          <w:p>
            <w:r>
              <w:rPr>
                <w:rFonts w:ascii="Calibri" w:hAnsi="Calibri"/>
                <w:sz w:val="22"/>
              </w:rPr>
              <w:t>In line</w:t>
            </w:r>
          </w:p>
        </w:tc>
      </w:tr>
      <w:tr>
        <w:tc>
          <w:tcPr>
            <w:tcW w:type="dxa" w:w="1234"/>
          </w:tcPr>
          <w:p>
            <w:r>
              <w:rPr>
                <w:rFonts w:ascii="Calibri" w:hAnsi="Calibri"/>
                <w:sz w:val="22"/>
              </w:rPr>
              <w:t>Adj. Operating Income ($M)</w:t>
            </w:r>
          </w:p>
        </w:tc>
        <w:tc>
          <w:tcPr>
            <w:tcW w:type="dxa" w:w="1234"/>
          </w:tcPr>
          <w:p>
            <w:r>
              <w:rPr>
                <w:rFonts w:ascii="Calibri" w:hAnsi="Calibri"/>
                <w:sz w:val="22"/>
              </w:rPr>
              <w:t>$537</w:t>
            </w:r>
          </w:p>
        </w:tc>
        <w:tc>
          <w:tcPr>
            <w:tcW w:type="dxa" w:w="1234"/>
          </w:tcPr>
          <w:p>
            <w:r>
              <w:rPr>
                <w:rFonts w:ascii="Calibri" w:hAnsi="Calibri"/>
                <w:sz w:val="22"/>
              </w:rPr>
              <w:t>$419</w:t>
            </w:r>
          </w:p>
        </w:tc>
        <w:tc>
          <w:tcPr>
            <w:tcW w:type="dxa" w:w="1234"/>
          </w:tcPr>
          <w:p>
            <w:r>
              <w:rPr>
                <w:rFonts w:ascii="Calibri" w:hAnsi="Calibri"/>
                <w:sz w:val="22"/>
              </w:rPr>
              <w:t>$467</w:t>
            </w:r>
          </w:p>
        </w:tc>
        <w:tc>
          <w:tcPr>
            <w:tcW w:type="dxa" w:w="1234"/>
          </w:tcPr>
          <w:p>
            <w:r>
              <w:rPr>
                <w:rFonts w:ascii="Calibri" w:hAnsi="Calibri"/>
                <w:sz w:val="22"/>
              </w:rPr>
              <w:t>+11.5%</w:t>
            </w:r>
          </w:p>
        </w:tc>
        <w:tc>
          <w:tcPr>
            <w:tcW w:type="dxa" w:w="1234"/>
          </w:tcPr>
          <w:p>
            <w:r>
              <w:rPr>
                <w:rFonts w:ascii="Calibri" w:hAnsi="Calibri"/>
                <w:sz w:val="22"/>
              </w:rPr>
              <w:t>Continued margin expansion</w:t>
            </w:r>
          </w:p>
        </w:tc>
        <w:tc>
          <w:tcPr>
            <w:tcW w:type="dxa" w:w="1234"/>
          </w:tcPr>
          <w:p>
            <w:r>
              <w:rPr>
                <w:rFonts w:ascii="Calibri" w:hAnsi="Calibri"/>
                <w:sz w:val="22"/>
              </w:rPr>
              <w:t>In line</w:t>
            </w:r>
          </w:p>
        </w:tc>
      </w:tr>
      <w:tr>
        <w:tc>
          <w:tcPr>
            <w:tcW w:type="dxa" w:w="1234"/>
          </w:tcPr>
          <w:p>
            <w:r>
              <w:rPr>
                <w:rFonts w:ascii="Calibri" w:hAnsi="Calibri"/>
                <w:sz w:val="22"/>
              </w:rPr>
              <w:t>Adj. Diluted EPS ($)</w:t>
            </w:r>
          </w:p>
        </w:tc>
        <w:tc>
          <w:tcPr>
            <w:tcW w:type="dxa" w:w="1234"/>
          </w:tcPr>
          <w:p>
            <w:r>
              <w:rPr>
                <w:rFonts w:ascii="Calibri" w:hAnsi="Calibri"/>
                <w:sz w:val="22"/>
              </w:rPr>
              <w:t>$3.72</w:t>
            </w:r>
          </w:p>
        </w:tc>
        <w:tc>
          <w:tcPr>
            <w:tcW w:type="dxa" w:w="1234"/>
          </w:tcPr>
          <w:p>
            <w:r>
              <w:rPr>
                <w:rFonts w:ascii="Calibri" w:hAnsi="Calibri"/>
                <w:sz w:val="22"/>
              </w:rPr>
              <w:t>$2.86</w:t>
            </w:r>
          </w:p>
        </w:tc>
        <w:tc>
          <w:tcPr>
            <w:tcW w:type="dxa" w:w="1234"/>
          </w:tcPr>
          <w:p>
            <w:r>
              <w:rPr>
                <w:rFonts w:ascii="Calibri" w:hAnsi="Calibri"/>
                <w:sz w:val="22"/>
              </w:rPr>
              <w:t>$3.11</w:t>
            </w:r>
          </w:p>
        </w:tc>
        <w:tc>
          <w:tcPr>
            <w:tcW w:type="dxa" w:w="1234"/>
          </w:tcPr>
          <w:p>
            <w:r>
              <w:rPr>
                <w:rFonts w:ascii="Calibri" w:hAnsi="Calibri"/>
                <w:sz w:val="22"/>
              </w:rPr>
              <w:t>+8.7%</w:t>
            </w:r>
          </w:p>
        </w:tc>
        <w:tc>
          <w:tcPr>
            <w:tcW w:type="dxa" w:w="1234"/>
          </w:tcPr>
          <w:p>
            <w:r>
              <w:rPr>
                <w:rFonts w:ascii="Calibri" w:hAnsi="Calibri"/>
                <w:sz w:val="22"/>
              </w:rPr>
              <w:t>FY: ~$19.54 consensus</w:t>
            </w:r>
          </w:p>
        </w:tc>
        <w:tc>
          <w:tcPr>
            <w:tcW w:type="dxa" w:w="1234"/>
          </w:tcPr>
          <w:p>
            <w:r>
              <w:rPr>
                <w:rFonts w:ascii="Calibri" w:hAnsi="Calibri"/>
                <w:sz w:val="22"/>
              </w:rPr>
              <w:t>In line</w:t>
            </w:r>
          </w:p>
        </w:tc>
      </w:tr>
    </w:tbl>
    <w:p>
      <w:r>
        <w:rPr>
          <w:rFonts w:ascii="Calibri" w:hAnsi="Calibri"/>
          <w:i/>
          <w:color w:val="525866"/>
          <w:sz w:val="22"/>
        </w:rPr>
        <w:t>Sources: Visible Alpha Consensus and Actuals Data (Total revenues, EPS – Diluted – Operating, Revenue – Organic, Revenue – Risk and broking, Revenue – Health, wealth and career, Operating income/(loss) – Operating). Q2 2026 consensus as of July 29, 2026. Guidance from WTW Q1 2026 Earnings Call (April 30, 2026) and Q1 2026 Earnings Release.</w:t>
      </w:r>
    </w:p>
    <w:p>
      <w:pPr>
        <w:pStyle w:val="Heading3"/>
      </w:pPr>
      <w:r>
        <w:rPr>
          <w:rFonts w:ascii="Calibri" w:hAnsi="Calibri"/>
          <w:b/>
          <w:color w:val="3B4259"/>
          <w:sz w:val="24"/>
        </w:rPr>
        <w:t>Table 2 — Beat/Miss History (Last 8 Quarters)</w:t>
      </w:r>
    </w:p>
    <w:p>
      <w:pPr>
        <w:pStyle w:val="Heading4"/>
      </w:pPr>
      <w:r>
        <w:rPr>
          <w:rFonts w:ascii="Calibri" w:hAnsi="Calibri"/>
          <w:b/>
          <w:color w:val="3B4259"/>
          <w:sz w:val="22"/>
        </w:rPr>
        <w:t>Top KPI #1: Organic Revenue Growth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w:t>
            </w:r>
          </w:p>
        </w:tc>
        <w:tc>
          <w:tcPr>
            <w:tcW w:type="dxa" w:w="1728"/>
            <w:shd w:val="clear" w:color="auto" w:fill="3B4259"/>
          </w:tcPr>
          <w:p>
            <w:r>
              <w:rPr>
                <w:rFonts w:ascii="Calibri" w:hAnsi="Calibri"/>
                <w:b/>
                <w:color w:val="FFFFFF"/>
                <w:sz w:val="22"/>
              </w:rPr>
              <w:t>Consensus</w:t>
            </w:r>
          </w:p>
        </w:tc>
        <w:tc>
          <w:tcPr>
            <w:tcW w:type="dxa" w:w="1728"/>
            <w:shd w:val="clear" w:color="auto" w:fill="3B4259"/>
          </w:tcPr>
          <w:p>
            <w:r>
              <w:rPr>
                <w:rFonts w:ascii="Calibri" w:hAnsi="Calibri"/>
                <w:b/>
                <w:color w:val="FFFFFF"/>
                <w:sz w:val="22"/>
              </w:rPr>
              <w:t>Surprise (bps)</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Q1 2026</w:t>
            </w:r>
          </w:p>
        </w:tc>
        <w:tc>
          <w:tcPr>
            <w:tcW w:type="dxa" w:w="1728"/>
          </w:tcPr>
          <w:p>
            <w:r>
              <w:rPr>
                <w:rFonts w:ascii="Calibri" w:hAnsi="Calibri"/>
                <w:sz w:val="22"/>
              </w:rPr>
              <w:t>3.0%</w:t>
            </w:r>
          </w:p>
        </w:tc>
        <w:tc>
          <w:tcPr>
            <w:tcW w:type="dxa" w:w="1728"/>
          </w:tcPr>
          <w:p>
            <w:r>
              <w:rPr>
                <w:rFonts w:ascii="Calibri" w:hAnsi="Calibri"/>
                <w:sz w:val="22"/>
              </w:rPr>
              <w:t>4.8%</w:t>
            </w:r>
          </w:p>
        </w:tc>
        <w:tc>
          <w:tcPr>
            <w:tcW w:type="dxa" w:w="1728"/>
          </w:tcPr>
          <w:p>
            <w:r>
              <w:rPr>
                <w:rFonts w:ascii="Calibri" w:hAnsi="Calibri"/>
                <w:b/>
                <w:color w:val="E5484D"/>
                <w:sz w:val="22"/>
              </w:rPr>
              <w:t>-180 bps</w:t>
            </w:r>
          </w:p>
        </w:tc>
        <w:tc>
          <w:tcPr>
            <w:tcW w:type="dxa" w:w="1728"/>
          </w:tcPr>
          <w:p>
            <w:r>
              <w:rPr>
                <w:rFonts w:ascii="Calibri" w:hAnsi="Calibri"/>
                <w:sz w:val="22"/>
              </w:rPr>
              <w:t>Miss</w:t>
            </w:r>
          </w:p>
        </w:tc>
      </w:tr>
      <w:tr>
        <w:tc>
          <w:tcPr>
            <w:tcW w:type="dxa" w:w="1728"/>
          </w:tcPr>
          <w:p>
            <w:r>
              <w:rPr>
                <w:rFonts w:ascii="Calibri" w:hAnsi="Calibri"/>
                <w:sz w:val="22"/>
              </w:rPr>
              <w:t>Q4 2025</w:t>
            </w:r>
          </w:p>
        </w:tc>
        <w:tc>
          <w:tcPr>
            <w:tcW w:type="dxa" w:w="1728"/>
          </w:tcPr>
          <w:p>
            <w:r>
              <w:rPr>
                <w:rFonts w:ascii="Calibri" w:hAnsi="Calibri"/>
                <w:sz w:val="22"/>
              </w:rPr>
              <w:t>6.0%</w:t>
            </w:r>
          </w:p>
        </w:tc>
        <w:tc>
          <w:tcPr>
            <w:tcW w:type="dxa" w:w="1728"/>
          </w:tcPr>
          <w:p>
            <w:r>
              <w:rPr>
                <w:rFonts w:ascii="Calibri" w:hAnsi="Calibri"/>
                <w:sz w:val="22"/>
              </w:rPr>
              <w:t>4.7%</w:t>
            </w:r>
          </w:p>
        </w:tc>
        <w:tc>
          <w:tcPr>
            <w:tcW w:type="dxa" w:w="1728"/>
          </w:tcPr>
          <w:p>
            <w:r>
              <w:rPr>
                <w:rFonts w:ascii="Calibri" w:hAnsi="Calibri"/>
                <w:b/>
                <w:color w:val="30A46C"/>
                <w:sz w:val="22"/>
              </w:rPr>
              <w:t>+130 bps</w:t>
            </w:r>
          </w:p>
        </w:tc>
        <w:tc>
          <w:tcPr>
            <w:tcW w:type="dxa" w:w="1728"/>
          </w:tcPr>
          <w:p>
            <w:r>
              <w:rPr>
                <w:rFonts w:ascii="Calibri" w:hAnsi="Calibri"/>
                <w:sz w:val="22"/>
              </w:rPr>
              <w:t>Beat</w:t>
            </w:r>
          </w:p>
        </w:tc>
      </w:tr>
      <w:tr>
        <w:tc>
          <w:tcPr>
            <w:tcW w:type="dxa" w:w="1728"/>
          </w:tcPr>
          <w:p>
            <w:r>
              <w:rPr>
                <w:rFonts w:ascii="Calibri" w:hAnsi="Calibri"/>
                <w:sz w:val="22"/>
              </w:rPr>
              <w:t>Q3 2025</w:t>
            </w:r>
          </w:p>
        </w:tc>
        <w:tc>
          <w:tcPr>
            <w:tcW w:type="dxa" w:w="1728"/>
          </w:tcPr>
          <w:p>
            <w:r>
              <w:rPr>
                <w:rFonts w:ascii="Calibri" w:hAnsi="Calibri"/>
                <w:sz w:val="22"/>
              </w:rPr>
              <w:t>5.0%</w:t>
            </w:r>
          </w:p>
        </w:tc>
        <w:tc>
          <w:tcPr>
            <w:tcW w:type="dxa" w:w="1728"/>
          </w:tcPr>
          <w:p>
            <w:r>
              <w:rPr>
                <w:rFonts w:ascii="Calibri" w:hAnsi="Calibri"/>
                <w:sz w:val="22"/>
              </w:rPr>
              <w:t>5.1%</w:t>
            </w:r>
          </w:p>
        </w:tc>
        <w:tc>
          <w:tcPr>
            <w:tcW w:type="dxa" w:w="1728"/>
          </w:tcPr>
          <w:p>
            <w:r>
              <w:rPr>
                <w:rFonts w:ascii="Calibri" w:hAnsi="Calibri"/>
                <w:sz w:val="22"/>
              </w:rPr>
              <w:t>-10 bps</w:t>
            </w:r>
          </w:p>
        </w:tc>
        <w:tc>
          <w:tcPr>
            <w:tcW w:type="dxa" w:w="1728"/>
          </w:tcPr>
          <w:p>
            <w:r>
              <w:rPr>
                <w:rFonts w:ascii="Calibri" w:hAnsi="Calibri"/>
                <w:sz w:val="22"/>
              </w:rPr>
              <w:t>In Line</w:t>
            </w:r>
          </w:p>
        </w:tc>
      </w:tr>
      <w:tr>
        <w:tc>
          <w:tcPr>
            <w:tcW w:type="dxa" w:w="1728"/>
          </w:tcPr>
          <w:p>
            <w:r>
              <w:rPr>
                <w:rFonts w:ascii="Calibri" w:hAnsi="Calibri"/>
                <w:sz w:val="22"/>
              </w:rPr>
              <w:t>Q2 2025</w:t>
            </w:r>
          </w:p>
        </w:tc>
        <w:tc>
          <w:tcPr>
            <w:tcW w:type="dxa" w:w="1728"/>
          </w:tcPr>
          <w:p>
            <w:r>
              <w:rPr>
                <w:rFonts w:ascii="Calibri" w:hAnsi="Calibri"/>
                <w:sz w:val="22"/>
              </w:rPr>
              <w:t>5.0%</w:t>
            </w:r>
          </w:p>
        </w:tc>
        <w:tc>
          <w:tcPr>
            <w:tcW w:type="dxa" w:w="1728"/>
          </w:tcPr>
          <w:p>
            <w:r>
              <w:rPr>
                <w:rFonts w:ascii="Calibri" w:hAnsi="Calibri"/>
                <w:sz w:val="22"/>
              </w:rPr>
              <w:t>4.6%</w:t>
            </w:r>
          </w:p>
        </w:tc>
        <w:tc>
          <w:tcPr>
            <w:tcW w:type="dxa" w:w="1728"/>
          </w:tcPr>
          <w:p>
            <w:r>
              <w:rPr>
                <w:rFonts w:ascii="Calibri" w:hAnsi="Calibri"/>
                <w:b/>
                <w:color w:val="30A46C"/>
                <w:sz w:val="22"/>
              </w:rPr>
              <w:t>+40 bps</w:t>
            </w:r>
          </w:p>
        </w:tc>
        <w:tc>
          <w:tcPr>
            <w:tcW w:type="dxa" w:w="1728"/>
          </w:tcPr>
          <w:p>
            <w:r>
              <w:rPr>
                <w:rFonts w:ascii="Calibri" w:hAnsi="Calibri"/>
                <w:sz w:val="22"/>
              </w:rPr>
              <w:t>Beat</w:t>
            </w:r>
          </w:p>
        </w:tc>
      </w:tr>
      <w:tr>
        <w:tc>
          <w:tcPr>
            <w:tcW w:type="dxa" w:w="1728"/>
          </w:tcPr>
          <w:p>
            <w:r>
              <w:rPr>
                <w:rFonts w:ascii="Calibri" w:hAnsi="Calibri"/>
                <w:sz w:val="22"/>
              </w:rPr>
              <w:t>Q1 2025</w:t>
            </w:r>
          </w:p>
        </w:tc>
        <w:tc>
          <w:tcPr>
            <w:tcW w:type="dxa" w:w="1728"/>
          </w:tcPr>
          <w:p>
            <w:r>
              <w:rPr>
                <w:rFonts w:ascii="Calibri" w:hAnsi="Calibri"/>
                <w:sz w:val="22"/>
              </w:rPr>
              <w:t>5.0%</w:t>
            </w:r>
          </w:p>
        </w:tc>
        <w:tc>
          <w:tcPr>
            <w:tcW w:type="dxa" w:w="1728"/>
          </w:tcPr>
          <w:p>
            <w:r>
              <w:rPr>
                <w:rFonts w:ascii="Calibri" w:hAnsi="Calibri"/>
                <w:sz w:val="22"/>
              </w:rPr>
              <w:t>5.0%</w:t>
            </w:r>
          </w:p>
        </w:tc>
        <w:tc>
          <w:tcPr>
            <w:tcW w:type="dxa" w:w="1728"/>
          </w:tcPr>
          <w:p>
            <w:r>
              <w:rPr>
                <w:rFonts w:ascii="Calibri" w:hAnsi="Calibri"/>
                <w:sz w:val="22"/>
              </w:rPr>
              <w:t>0 bps</w:t>
            </w:r>
          </w:p>
        </w:tc>
        <w:tc>
          <w:tcPr>
            <w:tcW w:type="dxa" w:w="1728"/>
          </w:tcPr>
          <w:p>
            <w:r>
              <w:rPr>
                <w:rFonts w:ascii="Calibri" w:hAnsi="Calibri"/>
                <w:sz w:val="22"/>
              </w:rPr>
              <w:t>In Line</w:t>
            </w:r>
          </w:p>
        </w:tc>
      </w:tr>
      <w:tr>
        <w:tc>
          <w:tcPr>
            <w:tcW w:type="dxa" w:w="1728"/>
          </w:tcPr>
          <w:p>
            <w:r>
              <w:rPr>
                <w:rFonts w:ascii="Calibri" w:hAnsi="Calibri"/>
                <w:sz w:val="22"/>
              </w:rPr>
              <w:t>Q4 2024</w:t>
            </w:r>
          </w:p>
        </w:tc>
        <w:tc>
          <w:tcPr>
            <w:tcW w:type="dxa" w:w="1728"/>
          </w:tcPr>
          <w:p>
            <w:r>
              <w:rPr>
                <w:rFonts w:ascii="Calibri" w:hAnsi="Calibri"/>
                <w:sz w:val="22"/>
              </w:rPr>
              <w:t>5.0%</w:t>
            </w:r>
          </w:p>
        </w:tc>
        <w:tc>
          <w:tcPr>
            <w:tcW w:type="dxa" w:w="1728"/>
          </w:tcPr>
          <w:p>
            <w:r>
              <w:rPr>
                <w:rFonts w:ascii="Calibri" w:hAnsi="Calibri"/>
                <w:sz w:val="22"/>
              </w:rPr>
              <w:t>4.9%</w:t>
            </w:r>
          </w:p>
        </w:tc>
        <w:tc>
          <w:tcPr>
            <w:tcW w:type="dxa" w:w="1728"/>
          </w:tcPr>
          <w:p>
            <w:r>
              <w:rPr>
                <w:rFonts w:ascii="Calibri" w:hAnsi="Calibri"/>
                <w:b/>
                <w:color w:val="30A46C"/>
                <w:sz w:val="22"/>
              </w:rPr>
              <w:t>+10 bps</w:t>
            </w:r>
          </w:p>
        </w:tc>
        <w:tc>
          <w:tcPr>
            <w:tcW w:type="dxa" w:w="1728"/>
          </w:tcPr>
          <w:p>
            <w:r>
              <w:rPr>
                <w:rFonts w:ascii="Calibri" w:hAnsi="Calibri"/>
                <w:sz w:val="22"/>
              </w:rPr>
              <w:t>Beat</w:t>
            </w:r>
          </w:p>
        </w:tc>
      </w:tr>
      <w:tr>
        <w:tc>
          <w:tcPr>
            <w:tcW w:type="dxa" w:w="1728"/>
          </w:tcPr>
          <w:p>
            <w:r>
              <w:rPr>
                <w:rFonts w:ascii="Calibri" w:hAnsi="Calibri"/>
                <w:sz w:val="22"/>
              </w:rPr>
              <w:t>Q3 2024</w:t>
            </w:r>
          </w:p>
        </w:tc>
        <w:tc>
          <w:tcPr>
            <w:tcW w:type="dxa" w:w="1728"/>
          </w:tcPr>
          <w:p>
            <w:r>
              <w:rPr>
                <w:rFonts w:ascii="Calibri" w:hAnsi="Calibri"/>
                <w:sz w:val="22"/>
              </w:rPr>
              <w:t>6.0%</w:t>
            </w:r>
          </w:p>
        </w:tc>
        <w:tc>
          <w:tcPr>
            <w:tcW w:type="dxa" w:w="1728"/>
          </w:tcPr>
          <w:p>
            <w:r>
              <w:rPr>
                <w:rFonts w:ascii="Calibri" w:hAnsi="Calibri"/>
                <w:sz w:val="22"/>
              </w:rPr>
              <w:t>5.8%</w:t>
            </w:r>
          </w:p>
        </w:tc>
        <w:tc>
          <w:tcPr>
            <w:tcW w:type="dxa" w:w="1728"/>
          </w:tcPr>
          <w:p>
            <w:r>
              <w:rPr>
                <w:rFonts w:ascii="Calibri" w:hAnsi="Calibri"/>
                <w:b/>
                <w:color w:val="30A46C"/>
                <w:sz w:val="22"/>
              </w:rPr>
              <w:t>+20 bps</w:t>
            </w:r>
          </w:p>
        </w:tc>
        <w:tc>
          <w:tcPr>
            <w:tcW w:type="dxa" w:w="1728"/>
          </w:tcPr>
          <w:p>
            <w:r>
              <w:rPr>
                <w:rFonts w:ascii="Calibri" w:hAnsi="Calibri"/>
                <w:sz w:val="22"/>
              </w:rPr>
              <w:t>Beat</w:t>
            </w:r>
          </w:p>
        </w:tc>
      </w:tr>
      <w:tr>
        <w:tc>
          <w:tcPr>
            <w:tcW w:type="dxa" w:w="1728"/>
          </w:tcPr>
          <w:p>
            <w:r>
              <w:rPr>
                <w:rFonts w:ascii="Calibri" w:hAnsi="Calibri"/>
                <w:sz w:val="22"/>
              </w:rPr>
              <w:t>Q2 2024</w:t>
            </w:r>
          </w:p>
        </w:tc>
        <w:tc>
          <w:tcPr>
            <w:tcW w:type="dxa" w:w="1728"/>
          </w:tcPr>
          <w:p>
            <w:r>
              <w:rPr>
                <w:rFonts w:ascii="Calibri" w:hAnsi="Calibri"/>
                <w:sz w:val="22"/>
              </w:rPr>
              <w:t>5.0%</w:t>
            </w:r>
          </w:p>
        </w:tc>
        <w:tc>
          <w:tcPr>
            <w:tcW w:type="dxa" w:w="1728"/>
          </w:tcPr>
          <w:p>
            <w:r>
              <w:rPr>
                <w:rFonts w:ascii="Calibri" w:hAnsi="Calibri"/>
                <w:sz w:val="22"/>
              </w:rPr>
              <w:t>N/A</w:t>
            </w:r>
          </w:p>
        </w:tc>
        <w:tc>
          <w:tcPr>
            <w:tcW w:type="dxa" w:w="1728"/>
          </w:tcPr>
          <w:p>
            <w:r>
              <w:rPr>
                <w:rFonts w:ascii="Calibri" w:hAnsi="Calibri"/>
                <w:sz w:val="22"/>
              </w:rPr>
              <w:t>N/A</w:t>
            </w:r>
          </w:p>
        </w:tc>
        <w:tc>
          <w:tcPr>
            <w:tcW w:type="dxa" w:w="1728"/>
          </w:tcPr>
          <w:p>
            <w:r>
              <w:rPr>
                <w:rFonts w:ascii="Calibri" w:hAnsi="Calibri"/>
                <w:sz w:val="22"/>
              </w:rPr>
              <w:t>N/A</w:t>
            </w:r>
          </w:p>
        </w:tc>
      </w:tr>
    </w:tbl>
    <w:p>
      <w:pPr>
        <w:pStyle w:val="Heading4"/>
      </w:pPr>
      <w:r>
        <w:rPr>
          <w:rFonts w:ascii="Calibri" w:hAnsi="Calibri"/>
          <w:b/>
          <w:color w:val="3B4259"/>
          <w:sz w:val="22"/>
        </w:rPr>
        <w:t>Top KPI #2: Adjusted Diluted EPS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w:t>
            </w:r>
          </w:p>
        </w:tc>
        <w:tc>
          <w:tcPr>
            <w:tcW w:type="dxa" w:w="1728"/>
            <w:shd w:val="clear" w:color="auto" w:fill="3B4259"/>
          </w:tcPr>
          <w:p>
            <w:r>
              <w:rPr>
                <w:rFonts w:ascii="Calibri" w:hAnsi="Calibri"/>
                <w:b/>
                <w:color w:val="FFFFFF"/>
                <w:sz w:val="22"/>
              </w:rPr>
              <w:t>Consensus</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Q1 2026</w:t>
            </w:r>
          </w:p>
        </w:tc>
        <w:tc>
          <w:tcPr>
            <w:tcW w:type="dxa" w:w="1728"/>
          </w:tcPr>
          <w:p>
            <w:r>
              <w:rPr>
                <w:rFonts w:ascii="Calibri" w:hAnsi="Calibri"/>
                <w:sz w:val="22"/>
              </w:rPr>
              <w:t>$3.72</w:t>
            </w:r>
          </w:p>
        </w:tc>
        <w:tc>
          <w:tcPr>
            <w:tcW w:type="dxa" w:w="1728"/>
          </w:tcPr>
          <w:p>
            <w:r>
              <w:rPr>
                <w:rFonts w:ascii="Calibri" w:hAnsi="Calibri"/>
                <w:sz w:val="22"/>
              </w:rPr>
              <w:t>$3.66</w:t>
            </w:r>
          </w:p>
        </w:tc>
        <w:tc>
          <w:tcPr>
            <w:tcW w:type="dxa" w:w="1728"/>
          </w:tcPr>
          <w:p>
            <w:r>
              <w:rPr>
                <w:rFonts w:ascii="Calibri" w:hAnsi="Calibri"/>
                <w:b/>
                <w:color w:val="30A46C"/>
                <w:sz w:val="22"/>
              </w:rPr>
              <w:t>+1.6%</w:t>
            </w:r>
          </w:p>
        </w:tc>
        <w:tc>
          <w:tcPr>
            <w:tcW w:type="dxa" w:w="1728"/>
          </w:tcPr>
          <w:p>
            <w:r>
              <w:rPr>
                <w:rFonts w:ascii="Calibri" w:hAnsi="Calibri"/>
                <w:sz w:val="22"/>
              </w:rPr>
              <w:t>Beat</w:t>
            </w:r>
          </w:p>
        </w:tc>
      </w:tr>
      <w:tr>
        <w:tc>
          <w:tcPr>
            <w:tcW w:type="dxa" w:w="1728"/>
          </w:tcPr>
          <w:p>
            <w:r>
              <w:rPr>
                <w:rFonts w:ascii="Calibri" w:hAnsi="Calibri"/>
                <w:sz w:val="22"/>
              </w:rPr>
              <w:t>Q4 2025</w:t>
            </w:r>
          </w:p>
        </w:tc>
        <w:tc>
          <w:tcPr>
            <w:tcW w:type="dxa" w:w="1728"/>
          </w:tcPr>
          <w:p>
            <w:r>
              <w:rPr>
                <w:rFonts w:ascii="Calibri" w:hAnsi="Calibri"/>
                <w:sz w:val="22"/>
              </w:rPr>
              <w:t>$8.12</w:t>
            </w:r>
          </w:p>
        </w:tc>
        <w:tc>
          <w:tcPr>
            <w:tcW w:type="dxa" w:w="1728"/>
          </w:tcPr>
          <w:p>
            <w:r>
              <w:rPr>
                <w:rFonts w:ascii="Calibri" w:hAnsi="Calibri"/>
                <w:sz w:val="22"/>
              </w:rPr>
              <w:t>$8.00</w:t>
            </w:r>
          </w:p>
        </w:tc>
        <w:tc>
          <w:tcPr>
            <w:tcW w:type="dxa" w:w="1728"/>
          </w:tcPr>
          <w:p>
            <w:r>
              <w:rPr>
                <w:rFonts w:ascii="Calibri" w:hAnsi="Calibri"/>
                <w:b/>
                <w:color w:val="30A46C"/>
                <w:sz w:val="22"/>
              </w:rPr>
              <w:t>+1.5%</w:t>
            </w:r>
          </w:p>
        </w:tc>
        <w:tc>
          <w:tcPr>
            <w:tcW w:type="dxa" w:w="1728"/>
          </w:tcPr>
          <w:p>
            <w:r>
              <w:rPr>
                <w:rFonts w:ascii="Calibri" w:hAnsi="Calibri"/>
                <w:sz w:val="22"/>
              </w:rPr>
              <w:t>Beat</w:t>
            </w:r>
          </w:p>
        </w:tc>
      </w:tr>
      <w:tr>
        <w:tc>
          <w:tcPr>
            <w:tcW w:type="dxa" w:w="1728"/>
          </w:tcPr>
          <w:p>
            <w:r>
              <w:rPr>
                <w:rFonts w:ascii="Calibri" w:hAnsi="Calibri"/>
                <w:sz w:val="22"/>
              </w:rPr>
              <w:t>Q3 2025</w:t>
            </w:r>
          </w:p>
        </w:tc>
        <w:tc>
          <w:tcPr>
            <w:tcW w:type="dxa" w:w="1728"/>
          </w:tcPr>
          <w:p>
            <w:r>
              <w:rPr>
                <w:rFonts w:ascii="Calibri" w:hAnsi="Calibri"/>
                <w:sz w:val="22"/>
              </w:rPr>
              <w:t>$3.07</w:t>
            </w:r>
          </w:p>
        </w:tc>
        <w:tc>
          <w:tcPr>
            <w:tcW w:type="dxa" w:w="1728"/>
          </w:tcPr>
          <w:p>
            <w:r>
              <w:rPr>
                <w:rFonts w:ascii="Calibri" w:hAnsi="Calibri"/>
                <w:sz w:val="22"/>
              </w:rPr>
              <w:t>$3.05</w:t>
            </w:r>
          </w:p>
        </w:tc>
        <w:tc>
          <w:tcPr>
            <w:tcW w:type="dxa" w:w="1728"/>
          </w:tcPr>
          <w:p>
            <w:r>
              <w:rPr>
                <w:rFonts w:ascii="Calibri" w:hAnsi="Calibri"/>
                <w:b/>
                <w:color w:val="30A46C"/>
                <w:sz w:val="22"/>
              </w:rPr>
              <w:t>+0.7%</w:t>
            </w:r>
          </w:p>
        </w:tc>
        <w:tc>
          <w:tcPr>
            <w:tcW w:type="dxa" w:w="1728"/>
          </w:tcPr>
          <w:p>
            <w:r>
              <w:rPr>
                <w:rFonts w:ascii="Calibri" w:hAnsi="Calibri"/>
                <w:sz w:val="22"/>
              </w:rPr>
              <w:t>Beat</w:t>
            </w:r>
          </w:p>
        </w:tc>
      </w:tr>
      <w:tr>
        <w:tc>
          <w:tcPr>
            <w:tcW w:type="dxa" w:w="1728"/>
          </w:tcPr>
          <w:p>
            <w:r>
              <w:rPr>
                <w:rFonts w:ascii="Calibri" w:hAnsi="Calibri"/>
                <w:sz w:val="22"/>
              </w:rPr>
              <w:t>Q2 2025</w:t>
            </w:r>
          </w:p>
        </w:tc>
        <w:tc>
          <w:tcPr>
            <w:tcW w:type="dxa" w:w="1728"/>
          </w:tcPr>
          <w:p>
            <w:r>
              <w:rPr>
                <w:rFonts w:ascii="Calibri" w:hAnsi="Calibri"/>
                <w:sz w:val="22"/>
              </w:rPr>
              <w:t>$2.86</w:t>
            </w:r>
          </w:p>
        </w:tc>
        <w:tc>
          <w:tcPr>
            <w:tcW w:type="dxa" w:w="1728"/>
          </w:tcPr>
          <w:p>
            <w:r>
              <w:rPr>
                <w:rFonts w:ascii="Calibri" w:hAnsi="Calibri"/>
                <w:sz w:val="22"/>
              </w:rPr>
              <w:t>$2.61</w:t>
            </w:r>
          </w:p>
        </w:tc>
        <w:tc>
          <w:tcPr>
            <w:tcW w:type="dxa" w:w="1728"/>
          </w:tcPr>
          <w:p>
            <w:r>
              <w:rPr>
                <w:rFonts w:ascii="Calibri" w:hAnsi="Calibri"/>
                <w:b/>
                <w:color w:val="30A46C"/>
                <w:sz w:val="22"/>
              </w:rPr>
              <w:t>+9.6%</w:t>
            </w:r>
          </w:p>
        </w:tc>
        <w:tc>
          <w:tcPr>
            <w:tcW w:type="dxa" w:w="1728"/>
          </w:tcPr>
          <w:p>
            <w:r>
              <w:rPr>
                <w:rFonts w:ascii="Calibri" w:hAnsi="Calibri"/>
                <w:sz w:val="22"/>
              </w:rPr>
              <w:t>Beat</w:t>
            </w:r>
          </w:p>
        </w:tc>
      </w:tr>
      <w:tr>
        <w:tc>
          <w:tcPr>
            <w:tcW w:type="dxa" w:w="1728"/>
          </w:tcPr>
          <w:p>
            <w:r>
              <w:rPr>
                <w:rFonts w:ascii="Calibri" w:hAnsi="Calibri"/>
                <w:sz w:val="22"/>
              </w:rPr>
              <w:t>Q1 2025</w:t>
            </w:r>
          </w:p>
        </w:tc>
        <w:tc>
          <w:tcPr>
            <w:tcW w:type="dxa" w:w="1728"/>
          </w:tcPr>
          <w:p>
            <w:r>
              <w:rPr>
                <w:rFonts w:ascii="Calibri" w:hAnsi="Calibri"/>
                <w:sz w:val="22"/>
              </w:rPr>
              <w:t>$3.13</w:t>
            </w:r>
          </w:p>
        </w:tc>
        <w:tc>
          <w:tcPr>
            <w:tcW w:type="dxa" w:w="1728"/>
          </w:tcPr>
          <w:p>
            <w:r>
              <w:rPr>
                <w:rFonts w:ascii="Calibri" w:hAnsi="Calibri"/>
                <w:sz w:val="22"/>
              </w:rPr>
              <w:t>$3.20</w:t>
            </w:r>
          </w:p>
        </w:tc>
        <w:tc>
          <w:tcPr>
            <w:tcW w:type="dxa" w:w="1728"/>
          </w:tcPr>
          <w:p>
            <w:r>
              <w:rPr>
                <w:rFonts w:ascii="Calibri" w:hAnsi="Calibri"/>
                <w:b/>
                <w:color w:val="E5484D"/>
                <w:sz w:val="22"/>
              </w:rPr>
              <w:t>-2.2%</w:t>
            </w:r>
          </w:p>
        </w:tc>
        <w:tc>
          <w:tcPr>
            <w:tcW w:type="dxa" w:w="1728"/>
          </w:tcPr>
          <w:p>
            <w:r>
              <w:rPr>
                <w:rFonts w:ascii="Calibri" w:hAnsi="Calibri"/>
                <w:sz w:val="22"/>
              </w:rPr>
              <w:t>Miss</w:t>
            </w:r>
          </w:p>
        </w:tc>
      </w:tr>
      <w:tr>
        <w:tc>
          <w:tcPr>
            <w:tcW w:type="dxa" w:w="1728"/>
          </w:tcPr>
          <w:p>
            <w:r>
              <w:rPr>
                <w:rFonts w:ascii="Calibri" w:hAnsi="Calibri"/>
                <w:sz w:val="22"/>
              </w:rPr>
              <w:t>Q4 2024</w:t>
            </w:r>
          </w:p>
        </w:tc>
        <w:tc>
          <w:tcPr>
            <w:tcW w:type="dxa" w:w="1728"/>
          </w:tcPr>
          <w:p>
            <w:r>
              <w:rPr>
                <w:rFonts w:ascii="Calibri" w:hAnsi="Calibri"/>
                <w:sz w:val="22"/>
              </w:rPr>
              <w:t>$7.97</w:t>
            </w:r>
          </w:p>
        </w:tc>
        <w:tc>
          <w:tcPr>
            <w:tcW w:type="dxa" w:w="1728"/>
          </w:tcPr>
          <w:p>
            <w:r>
              <w:rPr>
                <w:rFonts w:ascii="Calibri" w:hAnsi="Calibri"/>
                <w:sz w:val="22"/>
              </w:rPr>
              <w:t>$8.03</w:t>
            </w:r>
          </w:p>
        </w:tc>
        <w:tc>
          <w:tcPr>
            <w:tcW w:type="dxa" w:w="1728"/>
          </w:tcPr>
          <w:p>
            <w:r>
              <w:rPr>
                <w:rFonts w:ascii="Calibri" w:hAnsi="Calibri"/>
                <w:b/>
                <w:color w:val="E5484D"/>
                <w:sz w:val="22"/>
              </w:rPr>
              <w:t>-0.7%</w:t>
            </w:r>
          </w:p>
        </w:tc>
        <w:tc>
          <w:tcPr>
            <w:tcW w:type="dxa" w:w="1728"/>
          </w:tcPr>
          <w:p>
            <w:r>
              <w:rPr>
                <w:rFonts w:ascii="Calibri" w:hAnsi="Calibri"/>
                <w:sz w:val="22"/>
              </w:rPr>
              <w:t>Miss</w:t>
            </w:r>
          </w:p>
        </w:tc>
      </w:tr>
      <w:tr>
        <w:tc>
          <w:tcPr>
            <w:tcW w:type="dxa" w:w="1728"/>
          </w:tcPr>
          <w:p>
            <w:r>
              <w:rPr>
                <w:rFonts w:ascii="Calibri" w:hAnsi="Calibri"/>
                <w:sz w:val="22"/>
              </w:rPr>
              <w:t>Q3 2024</w:t>
            </w:r>
          </w:p>
        </w:tc>
        <w:tc>
          <w:tcPr>
            <w:tcW w:type="dxa" w:w="1728"/>
          </w:tcPr>
          <w:p>
            <w:r>
              <w:rPr>
                <w:rFonts w:ascii="Calibri" w:hAnsi="Calibri"/>
                <w:sz w:val="22"/>
              </w:rPr>
              <w:t>$2.77</w:t>
            </w:r>
          </w:p>
        </w:tc>
        <w:tc>
          <w:tcPr>
            <w:tcW w:type="dxa" w:w="1728"/>
          </w:tcPr>
          <w:p>
            <w:r>
              <w:rPr>
                <w:rFonts w:ascii="Calibri" w:hAnsi="Calibri"/>
                <w:sz w:val="22"/>
              </w:rPr>
              <w:t>$2.71</w:t>
            </w:r>
          </w:p>
        </w:tc>
        <w:tc>
          <w:tcPr>
            <w:tcW w:type="dxa" w:w="1728"/>
          </w:tcPr>
          <w:p>
            <w:r>
              <w:rPr>
                <w:rFonts w:ascii="Calibri" w:hAnsi="Calibri"/>
                <w:b/>
                <w:color w:val="30A46C"/>
                <w:sz w:val="22"/>
              </w:rPr>
              <w:t>+2.2%</w:t>
            </w:r>
          </w:p>
        </w:tc>
        <w:tc>
          <w:tcPr>
            <w:tcW w:type="dxa" w:w="1728"/>
          </w:tcPr>
          <w:p>
            <w:r>
              <w:rPr>
                <w:rFonts w:ascii="Calibri" w:hAnsi="Calibri"/>
                <w:sz w:val="22"/>
              </w:rPr>
              <w:t>Beat</w:t>
            </w:r>
          </w:p>
        </w:tc>
      </w:tr>
      <w:tr>
        <w:tc>
          <w:tcPr>
            <w:tcW w:type="dxa" w:w="1728"/>
          </w:tcPr>
          <w:p>
            <w:r>
              <w:rPr>
                <w:rFonts w:ascii="Calibri" w:hAnsi="Calibri"/>
                <w:sz w:val="22"/>
              </w:rPr>
              <w:t>Q2 2024</w:t>
            </w:r>
          </w:p>
        </w:tc>
        <w:tc>
          <w:tcPr>
            <w:tcW w:type="dxa" w:w="1728"/>
          </w:tcPr>
          <w:p>
            <w:r>
              <w:rPr>
                <w:rFonts w:ascii="Calibri" w:hAnsi="Calibri"/>
                <w:sz w:val="22"/>
              </w:rPr>
              <w:t>$2.86</w:t>
            </w:r>
          </w:p>
        </w:tc>
        <w:tc>
          <w:tcPr>
            <w:tcW w:type="dxa" w:w="1728"/>
          </w:tcPr>
          <w:p>
            <w:r>
              <w:rPr>
                <w:rFonts w:ascii="Calibri" w:hAnsi="Calibri"/>
                <w:sz w:val="22"/>
              </w:rPr>
              <w:t>N/A</w:t>
            </w:r>
          </w:p>
        </w:tc>
        <w:tc>
          <w:tcPr>
            <w:tcW w:type="dxa" w:w="1728"/>
          </w:tcPr>
          <w:p>
            <w:r>
              <w:rPr>
                <w:rFonts w:ascii="Calibri" w:hAnsi="Calibri"/>
                <w:sz w:val="22"/>
              </w:rPr>
              <w:t>N/A</w:t>
            </w:r>
          </w:p>
        </w:tc>
        <w:tc>
          <w:tcPr>
            <w:tcW w:type="dxa" w:w="1728"/>
          </w:tcPr>
          <w:p>
            <w:r>
              <w:rPr>
                <w:rFonts w:ascii="Calibri" w:hAnsi="Calibri"/>
                <w:sz w:val="22"/>
              </w:rPr>
              <w:t>N/A</w:t>
            </w:r>
          </w:p>
        </w:tc>
      </w:tr>
    </w:tbl>
    <w:p>
      <w:r>
        <w:rPr>
          <w:rFonts w:ascii="Calibri" w:hAnsi="Calibri"/>
          <w:b/>
          <w:color w:val="525866"/>
          <w:sz w:val="22"/>
        </w:rPr>
        <w:t xml:space="preserve">Pattern: </w:t>
      </w:r>
      <w:r>
        <w:rPr>
          <w:rFonts w:ascii="Calibri" w:hAnsi="Calibri"/>
          <w:color w:val="525866"/>
          <w:sz w:val="22"/>
        </w:rPr>
        <w:t>WTW has a strong EPS beat track record (5 of 7 quarters with available consensus), driven by cost discipline and FX tailwinds, but organic revenue growth is the more volatile KPI — the Q1 2026 miss was the first meaningful organic growth miss in at least six quarters, making Q2 a critical test of whether the deceleration was transitory or structural.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Management narrowed R&amp;B full-year guidance to mid-single digits (from mid-to-high) at Q1 earnings — the only formal guidance change since last earnings — while maintaining all other segment and margin commitments. </w:t>
      </w:r>
      <w:r>
        <w:rPr>
          <w:rFonts w:ascii="Calibri" w:hAnsi="Calibri"/>
          <w:color w:val="525866"/>
          <w:sz w:val="22"/>
        </w:rPr>
        <w:t>The tone on the Q1 call was cautiously optimistic, anchored by the April "mid-single digit or better" R&amp;B signal, but the Middle East uncertainty remains an explicit caveat for Career/HWC.</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Apr 30)</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R&amp;B / CRB Organic Growth (FY2026)</w:t>
            </w:r>
          </w:p>
        </w:tc>
        <w:tc>
          <w:tcPr>
            <w:tcW w:type="dxa" w:w="1728"/>
          </w:tcPr>
          <w:p>
            <w:r>
              <w:rPr>
                <w:rFonts w:ascii="Calibri" w:hAnsi="Calibri"/>
                <w:sz w:val="22"/>
              </w:rPr>
              <w:t>Mid-single digits (narrowed from mid-to-high at Q4 2025 call)</w:t>
            </w:r>
          </w:p>
        </w:tc>
        <w:tc>
          <w:tcPr>
            <w:tcW w:type="dxa" w:w="1728"/>
          </w:tcPr>
          <w:p>
            <w:r>
              <w:rPr>
                <w:rFonts w:ascii="Calibri" w:hAnsi="Calibri"/>
                <w:sz w:val="22"/>
              </w:rPr>
              <w:t>—</w:t>
            </w:r>
          </w:p>
        </w:tc>
        <w:tc>
          <w:tcPr>
            <w:tcW w:type="dxa" w:w="1728"/>
          </w:tcPr>
          <w:p>
            <w:r>
              <w:rPr>
                <w:rFonts w:ascii="Calibri" w:hAnsi="Calibri"/>
                <w:sz w:val="22"/>
              </w:rPr>
              <w:t>~4.0% FY organic</w:t>
            </w:r>
          </w:p>
        </w:tc>
        <w:tc>
          <w:tcPr>
            <w:tcW w:type="dxa" w:w="1728"/>
          </w:tcPr>
          <w:p>
            <w:r>
              <w:rPr>
                <w:rFonts w:ascii="Calibri" w:hAnsi="Calibri"/>
                <w:sz w:val="22"/>
              </w:rPr>
              <w:t>↓ Narrowed at Q1 2026 earnings; April returned to “mid-single digit or better” per L. Clarke</w:t>
            </w:r>
          </w:p>
        </w:tc>
      </w:tr>
      <w:tr>
        <w:tc>
          <w:tcPr>
            <w:tcW w:type="dxa" w:w="1728"/>
          </w:tcPr>
          <w:p>
            <w:r>
              <w:rPr>
                <w:rFonts w:ascii="Calibri" w:hAnsi="Calibri"/>
                <w:sz w:val="22"/>
              </w:rPr>
              <w:t>HWC Organic Growth (FY2026)</w:t>
            </w:r>
          </w:p>
        </w:tc>
        <w:tc>
          <w:tcPr>
            <w:tcW w:type="dxa" w:w="1728"/>
          </w:tcPr>
          <w:p>
            <w:r>
              <w:rPr>
                <w:rFonts w:ascii="Calibri" w:hAnsi="Calibri"/>
                <w:sz w:val="22"/>
              </w:rPr>
              <w:t>Mid-single digits</w:t>
            </w:r>
          </w:p>
        </w:tc>
        <w:tc>
          <w:tcPr>
            <w:tcW w:type="dxa" w:w="1728"/>
          </w:tcPr>
          <w:p>
            <w:r>
              <w:rPr>
                <w:rFonts w:ascii="Calibri" w:hAnsi="Calibri"/>
                <w:sz w:val="22"/>
              </w:rPr>
              <w:t>—</w:t>
            </w:r>
          </w:p>
        </w:tc>
        <w:tc>
          <w:tcPr>
            <w:tcW w:type="dxa" w:w="1728"/>
          </w:tcPr>
          <w:p>
            <w:r>
              <w:rPr>
                <w:rFonts w:ascii="Calibri" w:hAnsi="Calibri"/>
                <w:sz w:val="22"/>
              </w:rPr>
              <w:t>~3.7% FY organic</w:t>
            </w:r>
          </w:p>
        </w:tc>
        <w:tc>
          <w:tcPr>
            <w:tcW w:type="dxa" w:w="1728"/>
          </w:tcPr>
          <w:p>
            <w:r>
              <w:rPr>
                <w:rFonts w:ascii="Calibri" w:hAnsi="Calibri"/>
                <w:sz w:val="22"/>
              </w:rPr>
              <w:t>Unchanged; Health high-single digit, Wealth high-end low-single digit, Career low-to-mid single digit</w:t>
            </w:r>
          </w:p>
        </w:tc>
      </w:tr>
      <w:tr>
        <w:tc>
          <w:tcPr>
            <w:tcW w:type="dxa" w:w="1728"/>
          </w:tcPr>
          <w:p>
            <w:r>
              <w:rPr>
                <w:rFonts w:ascii="Calibri" w:hAnsi="Calibri"/>
                <w:sz w:val="22"/>
              </w:rPr>
              <w:t>Health Organic Growth (FY2026)</w:t>
            </w:r>
          </w:p>
        </w:tc>
        <w:tc>
          <w:tcPr>
            <w:tcW w:type="dxa" w:w="1728"/>
          </w:tcPr>
          <w:p>
            <w:r>
              <w:rPr>
                <w:rFonts w:ascii="Calibri" w:hAnsi="Calibri"/>
                <w:sz w:val="22"/>
              </w:rPr>
              <w:t>High single digits</w:t>
            </w:r>
          </w:p>
        </w:tc>
        <w:tc>
          <w:tcPr>
            <w:tcW w:type="dxa" w:w="1728"/>
          </w:tcPr>
          <w:p>
            <w:r>
              <w:rPr>
                <w:rFonts w:ascii="Calibri" w:hAnsi="Calibri"/>
                <w:sz w:val="22"/>
              </w:rPr>
              <w:t>—</w:t>
            </w:r>
          </w:p>
        </w:tc>
        <w:tc>
          <w:tcPr>
            <w:tcW w:type="dxa" w:w="1728"/>
          </w:tcPr>
          <w:p>
            <w:r>
              <w:rPr>
                <w:rFonts w:ascii="Calibri" w:hAnsi="Calibri"/>
                <w:sz w:val="22"/>
              </w:rPr>
              <w:t>N/A (sub-segment)</w:t>
            </w:r>
          </w:p>
        </w:tc>
        <w:tc>
          <w:tcPr>
            <w:tcW w:type="dxa" w:w="1728"/>
          </w:tcPr>
          <w:p>
            <w:r>
              <w:rPr>
                <w:rFonts w:ascii="Calibri" w:hAnsi="Calibri"/>
                <w:sz w:val="22"/>
              </w:rPr>
              <w:t>Unchanged; driven by healthcare inflation and specialty solutions demand</w:t>
            </w:r>
          </w:p>
        </w:tc>
      </w:tr>
      <w:tr>
        <w:tc>
          <w:tcPr>
            <w:tcW w:type="dxa" w:w="1728"/>
          </w:tcPr>
          <w:p>
            <w:r>
              <w:rPr>
                <w:rFonts w:ascii="Calibri" w:hAnsi="Calibri"/>
                <w:sz w:val="22"/>
              </w:rPr>
              <w:t>Career Organic Growth (FY2026)</w:t>
            </w:r>
          </w:p>
        </w:tc>
        <w:tc>
          <w:tcPr>
            <w:tcW w:type="dxa" w:w="1728"/>
          </w:tcPr>
          <w:p>
            <w:r>
              <w:rPr>
                <w:rFonts w:ascii="Calibri" w:hAnsi="Calibri"/>
                <w:sz w:val="22"/>
              </w:rPr>
              <w:t>Low-to-mid single digits (expanded from low single digits)</w:t>
            </w:r>
          </w:p>
        </w:tc>
        <w:tc>
          <w:tcPr>
            <w:tcW w:type="dxa" w:w="1728"/>
          </w:tcPr>
          <w:p>
            <w:r>
              <w:rPr>
                <w:rFonts w:ascii="Calibri" w:hAnsi="Calibri"/>
                <w:sz w:val="22"/>
              </w:rPr>
              <w:t>—</w:t>
            </w:r>
          </w:p>
        </w:tc>
        <w:tc>
          <w:tcPr>
            <w:tcW w:type="dxa" w:w="1728"/>
          </w:tcPr>
          <w:p>
            <w:r>
              <w:rPr>
                <w:rFonts w:ascii="Calibri" w:hAnsi="Calibri"/>
                <w:sz w:val="22"/>
              </w:rPr>
              <w:t>N/A (sub-segment)</w:t>
            </w:r>
          </w:p>
        </w:tc>
        <w:tc>
          <w:tcPr>
            <w:tcW w:type="dxa" w:w="1728"/>
          </w:tcPr>
          <w:p>
            <w:r>
              <w:rPr>
                <w:rFonts w:ascii="Calibri" w:hAnsi="Calibri"/>
                <w:sz w:val="22"/>
              </w:rPr>
              <w:t>↓ Range widened at Q1 2026 call; Middle East uncertainty cited as key risk</w:t>
            </w:r>
          </w:p>
        </w:tc>
      </w:tr>
      <w:tr>
        <w:tc>
          <w:tcPr>
            <w:tcW w:type="dxa" w:w="1728"/>
          </w:tcPr>
          <w:p>
            <w:r>
              <w:rPr>
                <w:rFonts w:ascii="Calibri" w:hAnsi="Calibri"/>
                <w:sz w:val="22"/>
              </w:rPr>
              <w:t>BD&amp;O Organic Growth (FY2026)</w:t>
            </w:r>
          </w:p>
        </w:tc>
        <w:tc>
          <w:tcPr>
            <w:tcW w:type="dxa" w:w="1728"/>
          </w:tcPr>
          <w:p>
            <w:r>
              <w:rPr>
                <w:rFonts w:ascii="Calibri" w:hAnsi="Calibri"/>
                <w:sz w:val="22"/>
              </w:rPr>
              <w:t>Low single digits</w:t>
            </w:r>
          </w:p>
        </w:tc>
        <w:tc>
          <w:tcPr>
            <w:tcW w:type="dxa" w:w="1728"/>
          </w:tcPr>
          <w:p>
            <w:r>
              <w:rPr>
                <w:rFonts w:ascii="Calibri" w:hAnsi="Calibri"/>
                <w:sz w:val="22"/>
              </w:rPr>
              <w:t>—</w:t>
            </w:r>
          </w:p>
        </w:tc>
        <w:tc>
          <w:tcPr>
            <w:tcW w:type="dxa" w:w="1728"/>
          </w:tcPr>
          <w:p>
            <w:r>
              <w:rPr>
                <w:rFonts w:ascii="Calibri" w:hAnsi="Calibri"/>
                <w:sz w:val="22"/>
              </w:rPr>
              <w:t>N/A (sub-segment)</w:t>
            </w:r>
          </w:p>
        </w:tc>
        <w:tc>
          <w:tcPr>
            <w:tcW w:type="dxa" w:w="1728"/>
          </w:tcPr>
          <w:p>
            <w:r>
              <w:rPr>
                <w:rFonts w:ascii="Calibri" w:hAnsi="Calibri"/>
                <w:sz w:val="22"/>
              </w:rPr>
              <w:t>Unchanged; ~80% of Individual Marketplace revenue in Q4</w:t>
            </w:r>
          </w:p>
        </w:tc>
      </w:tr>
      <w:tr>
        <w:tc>
          <w:tcPr>
            <w:tcW w:type="dxa" w:w="1728"/>
          </w:tcPr>
          <w:p>
            <w:r>
              <w:rPr>
                <w:rFonts w:ascii="Calibri" w:hAnsi="Calibri"/>
                <w:sz w:val="22"/>
              </w:rPr>
              <w:t>ICT Organic Growth (FY2026)</w:t>
            </w:r>
          </w:p>
        </w:tc>
        <w:tc>
          <w:tcPr>
            <w:tcW w:type="dxa" w:w="1728"/>
          </w:tcPr>
          <w:p>
            <w:r>
              <w:rPr>
                <w:rFonts w:ascii="Calibri" w:hAnsi="Calibri"/>
                <w:sz w:val="22"/>
              </w:rPr>
              <w:t>Low-to-mid single digits</w:t>
            </w:r>
          </w:p>
        </w:tc>
        <w:tc>
          <w:tcPr>
            <w:tcW w:type="dxa" w:w="1728"/>
          </w:tcPr>
          <w:p>
            <w:r>
              <w:rPr>
                <w:rFonts w:ascii="Calibri" w:hAnsi="Calibri"/>
                <w:sz w:val="22"/>
              </w:rPr>
              <w:t>—</w:t>
            </w:r>
          </w:p>
        </w:tc>
        <w:tc>
          <w:tcPr>
            <w:tcW w:type="dxa" w:w="1728"/>
          </w:tcPr>
          <w:p>
            <w:r>
              <w:rPr>
                <w:rFonts w:ascii="Calibri" w:hAnsi="Calibri"/>
                <w:sz w:val="22"/>
              </w:rPr>
              <w:t>N/A (sub-segment)</w:t>
            </w:r>
          </w:p>
        </w:tc>
        <w:tc>
          <w:tcPr>
            <w:tcW w:type="dxa" w:w="1728"/>
          </w:tcPr>
          <w:p>
            <w:r>
              <w:rPr>
                <w:rFonts w:ascii="Calibri" w:hAnsi="Calibri"/>
                <w:sz w:val="22"/>
              </w:rPr>
              <w:t>Unchanged; strong software sales in Q1</w:t>
            </w:r>
          </w:p>
        </w:tc>
      </w:tr>
      <w:tr>
        <w:tc>
          <w:tcPr>
            <w:tcW w:type="dxa" w:w="1728"/>
          </w:tcPr>
          <w:p>
            <w:r>
              <w:rPr>
                <w:rFonts w:ascii="Calibri" w:hAnsi="Calibri"/>
                <w:sz w:val="22"/>
              </w:rPr>
              <w:t>Adj. Operating Margin (FY2026)</w:t>
            </w:r>
          </w:p>
        </w:tc>
        <w:tc>
          <w:tcPr>
            <w:tcW w:type="dxa" w:w="1728"/>
          </w:tcPr>
          <w:p>
            <w:r>
              <w:rPr>
                <w:rFonts w:ascii="Calibri" w:hAnsi="Calibri"/>
                <w:sz w:val="22"/>
              </w:rPr>
              <w:t>Continued annual expansion; ~100 bps avg. annual over next 2 years in R&amp;B; incremental expansion in HWC</w:t>
            </w:r>
          </w:p>
        </w:tc>
        <w:tc>
          <w:tcPr>
            <w:tcW w:type="dxa" w:w="1728"/>
          </w:tcPr>
          <w:p>
            <w:r>
              <w:rPr>
                <w:rFonts w:ascii="Calibri" w:hAnsi="Calibri"/>
                <w:sz w:val="22"/>
              </w:rPr>
              <w:t>—</w:t>
            </w:r>
          </w:p>
        </w:tc>
        <w:tc>
          <w:tcPr>
            <w:tcW w:type="dxa" w:w="1728"/>
          </w:tcPr>
          <w:p>
            <w:r>
              <w:rPr>
                <w:rFonts w:ascii="Calibri" w:hAnsi="Calibri"/>
                <w:sz w:val="22"/>
              </w:rPr>
              <w:t>~25.9% FY2026 (consensus)</w:t>
            </w:r>
          </w:p>
        </w:tc>
        <w:tc>
          <w:tcPr>
            <w:tcW w:type="dxa" w:w="1728"/>
          </w:tcPr>
          <w:p>
            <w:r>
              <w:rPr>
                <w:rFonts w:ascii="Calibri" w:hAnsi="Calibri"/>
                <w:sz w:val="22"/>
              </w:rPr>
              <w:t>Unchanged; Q1 delivered 70 bps expansion to 22.3%</w:t>
            </w:r>
          </w:p>
        </w:tc>
      </w:tr>
      <w:tr>
        <w:tc>
          <w:tcPr>
            <w:tcW w:type="dxa" w:w="1728"/>
          </w:tcPr>
          <w:p>
            <w:r>
              <w:rPr>
                <w:rFonts w:ascii="Calibri" w:hAnsi="Calibri"/>
                <w:sz w:val="22"/>
              </w:rPr>
              <w:t>Share Repurchases (FY2026)</w:t>
            </w:r>
          </w:p>
        </w:tc>
        <w:tc>
          <w:tcPr>
            <w:tcW w:type="dxa" w:w="1728"/>
          </w:tcPr>
          <w:p>
            <w:r>
              <w:rPr>
                <w:rFonts w:ascii="Calibri" w:hAnsi="Calibri"/>
                <w:sz w:val="22"/>
              </w:rPr>
              <w:t>≥$1.0B (subject to market conditions and M&amp;A)</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$300M repurchased in Q1</w:t>
            </w:r>
          </w:p>
        </w:tc>
      </w:tr>
      <w:tr>
        <w:tc>
          <w:tcPr>
            <w:tcW w:type="dxa" w:w="1728"/>
          </w:tcPr>
          <w:p>
            <w:r>
              <w:rPr>
                <w:rFonts w:ascii="Calibri" w:hAnsi="Calibri"/>
                <w:sz w:val="22"/>
              </w:rPr>
              <w:t>FX Tailwind to Adj. EPS (FY2026)</w:t>
            </w:r>
          </w:p>
        </w:tc>
        <w:tc>
          <w:tcPr>
            <w:tcW w:type="dxa" w:w="1728"/>
          </w:tcPr>
          <w:p>
            <w:r>
              <w:rPr>
                <w:rFonts w:ascii="Calibri" w:hAnsi="Calibri"/>
                <w:sz w:val="22"/>
              </w:rPr>
              <w:t>~$0.35 full-year tailwind at spot rates</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$0.25 realized in Q1, ~$0.10 incremental for remainder</w:t>
            </w:r>
          </w:p>
        </w:tc>
      </w:tr>
      <w:tr>
        <w:tc>
          <w:tcPr>
            <w:tcW w:type="dxa" w:w="1728"/>
          </w:tcPr>
          <w:p>
            <w:r>
              <w:rPr>
                <w:rFonts w:ascii="Calibri" w:hAnsi="Calibri"/>
                <w:sz w:val="22"/>
              </w:rPr>
              <w:t>Newfront EPS Impact (FY2026)</w:t>
            </w:r>
          </w:p>
        </w:tc>
        <w:tc>
          <w:tcPr>
            <w:tcW w:type="dxa" w:w="1728"/>
          </w:tcPr>
          <w:p>
            <w:r>
              <w:rPr>
                <w:rFonts w:ascii="Calibri" w:hAnsi="Calibri"/>
                <w:sz w:val="22"/>
              </w:rPr>
              <w:t>~$0.10 dilutive; ~$250M post-close revenue; ~26% adj. EBITDA margin</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integration ongoing with Neuron AI OS rollout</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were revised sharply lower in the 5 days after the Q1 miss and have since stabilized, suggesting the Street has largely priced in the reset. </w:t>
      </w:r>
      <w:r>
        <w:rPr>
          <w:rFonts w:ascii="Calibri" w:hAnsi="Calibri"/>
          <w:color w:val="525866"/>
          <w:sz w:val="22"/>
        </w:rPr>
        <w:t>For Q2 2026, consensus EPS of $3.11 is essentially flat to the post-Q1 baseline ($3.11), while FY2026 EPS consensus of $19.54 is modestly below the post-Q1 baseline ($19.57) — a narrow gap that leaves little cushion if Q2 disappoints again but also means a clean beat could drive meaningful upward revisions.</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(Period)</w:t>
            </w:r>
          </w:p>
        </w:tc>
        <w:tc>
          <w:tcPr>
            <w:tcW w:type="dxa" w:w="1080"/>
            <w:shd w:val="clear" w:color="auto" w:fill="3B4259"/>
          </w:tcPr>
          <w:p>
            <w:r>
              <w:rPr>
                <w:rFonts w:ascii="Calibri" w:hAnsi="Calibri"/>
                <w:b/>
                <w:color w:val="FFFFFF"/>
                <w:sz w:val="22"/>
              </w:rPr>
              <w:t>Estimate ~5 Days Post Q1 Earnings (as of May 7, 2026)</w:t>
            </w:r>
          </w:p>
        </w:tc>
        <w:tc>
          <w:tcPr>
            <w:tcW w:type="dxa" w:w="1080"/>
            <w:shd w:val="clear" w:color="auto" w:fill="3B4259"/>
          </w:tcPr>
          <w:p>
            <w:r>
              <w:rPr>
                <w:rFonts w:ascii="Calibri" w:hAnsi="Calibri"/>
                <w:b/>
                <w:color w:val="FFFFFF"/>
                <w:sz w:val="22"/>
              </w:rPr>
              <w:t>Current Consensus (July 29,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2026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w:t>
            </w:r>
          </w:p>
        </w:tc>
      </w:tr>
      <w:tr>
        <w:tc>
          <w:tcPr>
            <w:tcW w:type="dxa" w:w="1080"/>
          </w:tcPr>
          <w:p>
            <w:r>
              <w:rPr>
                <w:rFonts w:ascii="Calibri" w:hAnsi="Calibri"/>
                <w:sz w:val="22"/>
              </w:rPr>
              <w:t>Adj. Diluted EPS — Q2 2026</w:t>
            </w:r>
          </w:p>
        </w:tc>
        <w:tc>
          <w:tcPr>
            <w:tcW w:type="dxa" w:w="1080"/>
          </w:tcPr>
          <w:p>
            <w:r>
              <w:rPr>
                <w:rFonts w:ascii="Calibri" w:hAnsi="Calibri"/>
                <w:sz w:val="22"/>
              </w:rPr>
              <w:t>$3.11</w:t>
            </w:r>
          </w:p>
        </w:tc>
        <w:tc>
          <w:tcPr>
            <w:tcW w:type="dxa" w:w="1080"/>
          </w:tcPr>
          <w:p>
            <w:r>
              <w:rPr>
                <w:rFonts w:ascii="Calibri" w:hAnsi="Calibri"/>
                <w:sz w:val="22"/>
              </w:rPr>
              <w:t>$3.11</w:t>
            </w:r>
          </w:p>
        </w:tc>
        <w:tc>
          <w:tcPr>
            <w:tcW w:type="dxa" w:w="1080"/>
          </w:tcPr>
          <w:p>
            <w:r>
              <w:rPr>
                <w:rFonts w:ascii="Calibri" w:hAnsi="Calibri"/>
                <w:sz w:val="22"/>
              </w:rPr>
              <w:t>0.0%</w:t>
            </w:r>
          </w:p>
        </w:tc>
        <w:tc>
          <w:tcPr>
            <w:tcW w:type="dxa" w:w="1080"/>
          </w:tcPr>
          <w:p>
            <w:r>
              <w:rPr>
                <w:rFonts w:ascii="Calibri" w:hAnsi="Calibri"/>
                <w:sz w:val="22"/>
              </w:rPr>
              <w:t>No specific Q2 guidance</w:t>
            </w:r>
          </w:p>
        </w:tc>
        <w:tc>
          <w:tcPr>
            <w:tcW w:type="dxa" w:w="1080"/>
          </w:tcPr>
          <w:p>
            <w:r>
              <w:rPr>
                <w:rFonts w:ascii="Calibri" w:hAnsi="Calibri"/>
                <w:sz w:val="22"/>
              </w:rPr>
              <w:t>No specific Q2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Adj. Diluted EPS — FY2026</w:t>
            </w:r>
          </w:p>
        </w:tc>
        <w:tc>
          <w:tcPr>
            <w:tcW w:type="dxa" w:w="1080"/>
          </w:tcPr>
          <w:p>
            <w:r>
              <w:rPr>
                <w:rFonts w:ascii="Calibri" w:hAnsi="Calibri"/>
                <w:sz w:val="22"/>
              </w:rPr>
              <w:t>$19.57</w:t>
            </w:r>
          </w:p>
        </w:tc>
        <w:tc>
          <w:tcPr>
            <w:tcW w:type="dxa" w:w="1080"/>
          </w:tcPr>
          <w:p>
            <w:r>
              <w:rPr>
                <w:rFonts w:ascii="Calibri" w:hAnsi="Calibri"/>
                <w:sz w:val="22"/>
              </w:rPr>
              <w:t>$19.54</w:t>
            </w:r>
          </w:p>
        </w:tc>
        <w:tc>
          <w:tcPr>
            <w:tcW w:type="dxa" w:w="1080"/>
          </w:tcPr>
          <w:p>
            <w:r>
              <w:rPr>
                <w:rFonts w:ascii="Calibri" w:hAnsi="Calibri"/>
                <w:sz w:val="22"/>
              </w:rPr>
              <w:t>-0.2%</w:t>
            </w:r>
          </w:p>
        </w:tc>
        <w:tc>
          <w:tcPr>
            <w:tcW w:type="dxa" w:w="1080"/>
          </w:tcPr>
          <w:p>
            <w:r>
              <w:rPr>
                <w:rFonts w:ascii="Calibri" w:hAnsi="Calibri"/>
                <w:sz w:val="22"/>
              </w:rPr>
              <w:t>Continued margin expansion; FX tailwind ~$0.35</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In line</w:t>
            </w:r>
          </w:p>
        </w:tc>
      </w:tr>
      <w:tr>
        <w:tc>
          <w:tcPr>
            <w:tcW w:type="dxa" w:w="1080"/>
          </w:tcPr>
          <w:p>
            <w:r>
              <w:rPr>
                <w:rFonts w:ascii="Calibri" w:hAnsi="Calibri"/>
                <w:sz w:val="22"/>
              </w:rPr>
              <w:t>Organic Revenue Growth — Q2 2026</w:t>
            </w:r>
          </w:p>
        </w:tc>
        <w:tc>
          <w:tcPr>
            <w:tcW w:type="dxa" w:w="1080"/>
          </w:tcPr>
          <w:p>
            <w:r>
              <w:rPr>
                <w:rFonts w:ascii="Calibri" w:hAnsi="Calibri"/>
                <w:sz w:val="22"/>
              </w:rPr>
              <w:t>~3.8%</w:t>
            </w:r>
          </w:p>
        </w:tc>
        <w:tc>
          <w:tcPr>
            <w:tcW w:type="dxa" w:w="1080"/>
          </w:tcPr>
          <w:p>
            <w:r>
              <w:rPr>
                <w:rFonts w:ascii="Calibri" w:hAnsi="Calibri"/>
                <w:sz w:val="22"/>
              </w:rPr>
              <w:t>~3.7%</w:t>
            </w:r>
          </w:p>
        </w:tc>
        <w:tc>
          <w:tcPr>
            <w:tcW w:type="dxa" w:w="1080"/>
          </w:tcPr>
          <w:p>
            <w:r>
              <w:rPr>
                <w:rFonts w:ascii="Calibri" w:hAnsi="Calibri"/>
                <w:sz w:val="22"/>
              </w:rPr>
              <w:t>-0.1 pp</w:t>
            </w:r>
          </w:p>
        </w:tc>
        <w:tc>
          <w:tcPr>
            <w:tcW w:type="dxa" w:w="1080"/>
          </w:tcPr>
          <w:p>
            <w:r>
              <w:rPr>
                <w:rFonts w:ascii="Calibri" w:hAnsi="Calibri"/>
                <w:sz w:val="22"/>
              </w:rPr>
              <w:t>Mid-single digits (FY)</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Below FY midpoint</w:t>
            </w:r>
          </w:p>
        </w:tc>
      </w:tr>
      <w:tr>
        <w:tc>
          <w:tcPr>
            <w:tcW w:type="dxa" w:w="1080"/>
          </w:tcPr>
          <w:p>
            <w:r>
              <w:rPr>
                <w:rFonts w:ascii="Calibri" w:hAnsi="Calibri"/>
                <w:sz w:val="22"/>
              </w:rPr>
              <w:t>Organic Revenue Growth — FY2026</w:t>
            </w:r>
          </w:p>
        </w:tc>
        <w:tc>
          <w:tcPr>
            <w:tcW w:type="dxa" w:w="1080"/>
          </w:tcPr>
          <w:p>
            <w:r>
              <w:rPr>
                <w:rFonts w:ascii="Calibri" w:hAnsi="Calibri"/>
                <w:sz w:val="22"/>
              </w:rPr>
              <w:t>~3.9%</w:t>
            </w:r>
          </w:p>
        </w:tc>
        <w:tc>
          <w:tcPr>
            <w:tcW w:type="dxa" w:w="1080"/>
          </w:tcPr>
          <w:p>
            <w:r>
              <w:rPr>
                <w:rFonts w:ascii="Calibri" w:hAnsi="Calibri"/>
                <w:sz w:val="22"/>
              </w:rPr>
              <w:t>~4.0%</w:t>
            </w:r>
          </w:p>
        </w:tc>
        <w:tc>
          <w:tcPr>
            <w:tcW w:type="dxa" w:w="1080"/>
          </w:tcPr>
          <w:p>
            <w:r>
              <w:rPr>
                <w:rFonts w:ascii="Calibri" w:hAnsi="Calibri"/>
                <w:sz w:val="22"/>
              </w:rPr>
              <w:t>+0.1 pp</w:t>
            </w:r>
          </w:p>
        </w:tc>
        <w:tc>
          <w:tcPr>
            <w:tcW w:type="dxa" w:w="1080"/>
          </w:tcPr>
          <w:p>
            <w:r>
              <w:rPr>
                <w:rFonts w:ascii="Calibri" w:hAnsi="Calibri"/>
                <w:sz w:val="22"/>
              </w:rPr>
              <w:t>Mid-single digits (~4–6%)</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At low end of range</w:t>
            </w:r>
          </w:p>
        </w:tc>
      </w:tr>
      <w:tr>
        <w:tc>
          <w:tcPr>
            <w:tcW w:type="dxa" w:w="1080"/>
          </w:tcPr>
          <w:p>
            <w:r>
              <w:rPr>
                <w:rFonts w:ascii="Calibri" w:hAnsi="Calibri"/>
                <w:sz w:val="22"/>
              </w:rPr>
              <w:t>Total Revenue — Q2 2026 ($M)</w:t>
            </w:r>
          </w:p>
        </w:tc>
        <w:tc>
          <w:tcPr>
            <w:tcW w:type="dxa" w:w="1080"/>
          </w:tcPr>
          <w:p>
            <w:r>
              <w:rPr>
                <w:rFonts w:ascii="Calibri" w:hAnsi="Calibri"/>
                <w:sz w:val="22"/>
              </w:rPr>
              <w:t>$2,431</w:t>
            </w:r>
          </w:p>
        </w:tc>
        <w:tc>
          <w:tcPr>
            <w:tcW w:type="dxa" w:w="1080"/>
          </w:tcPr>
          <w:p>
            <w:r>
              <w:rPr>
                <w:rFonts w:ascii="Calibri" w:hAnsi="Calibri"/>
                <w:sz w:val="22"/>
              </w:rPr>
              <w:t>$2,424</w:t>
            </w:r>
          </w:p>
        </w:tc>
        <w:tc>
          <w:tcPr>
            <w:tcW w:type="dxa" w:w="1080"/>
          </w:tcPr>
          <w:p>
            <w:r>
              <w:rPr>
                <w:rFonts w:ascii="Calibri" w:hAnsi="Calibri"/>
                <w:sz w:val="22"/>
              </w:rPr>
              <w:t>-0.3%</w:t>
            </w:r>
          </w:p>
        </w:tc>
        <w:tc>
          <w:tcPr>
            <w:tcW w:type="dxa" w:w="1080"/>
          </w:tcPr>
          <w:p>
            <w:r>
              <w:rPr>
                <w:rFonts w:ascii="Calibri" w:hAnsi="Calibri"/>
                <w:sz w:val="22"/>
              </w:rPr>
              <w:t>No specific Q2 guidance</w:t>
            </w:r>
          </w:p>
        </w:tc>
        <w:tc>
          <w:tcPr>
            <w:tcW w:type="dxa" w:w="1080"/>
          </w:tcPr>
          <w:p>
            <w:r>
              <w:rPr>
                <w:rFonts w:ascii="Calibri" w:hAnsi="Calibri"/>
                <w:sz w:val="22"/>
              </w:rPr>
              <w:t>No specific Q2 guidance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Revenue — FY2026 ($M)</w:t>
            </w:r>
          </w:p>
        </w:tc>
        <w:tc>
          <w:tcPr>
            <w:tcW w:type="dxa" w:w="1080"/>
          </w:tcPr>
          <w:p>
            <w:r>
              <w:rPr>
                <w:rFonts w:ascii="Calibri" w:hAnsi="Calibri"/>
                <w:sz w:val="22"/>
              </w:rPr>
              <w:t>$10,479</w:t>
            </w:r>
          </w:p>
        </w:tc>
        <w:tc>
          <w:tcPr>
            <w:tcW w:type="dxa" w:w="1080"/>
          </w:tcPr>
          <w:p>
            <w:r>
              <w:rPr>
                <w:rFonts w:ascii="Calibri" w:hAnsi="Calibri"/>
                <w:sz w:val="22"/>
              </w:rPr>
              <w:t>$10,448</w:t>
            </w:r>
          </w:p>
        </w:tc>
        <w:tc>
          <w:tcPr>
            <w:tcW w:type="dxa" w:w="1080"/>
          </w:tcPr>
          <w:p>
            <w:r>
              <w:rPr>
                <w:rFonts w:ascii="Calibri" w:hAnsi="Calibri"/>
                <w:sz w:val="22"/>
              </w:rPr>
              <w:t>-0.3%</w:t>
            </w:r>
          </w:p>
        </w:tc>
        <w:tc>
          <w:tcPr>
            <w:tcW w:type="dxa" w:w="1080"/>
          </w:tcPr>
          <w:p>
            <w:r>
              <w:rPr>
                <w:rFonts w:ascii="Calibri" w:hAnsi="Calibri"/>
                <w:sz w:val="22"/>
              </w:rPr>
              <w:t>Mid-single-digit organic growth</w:t>
            </w:r>
          </w:p>
        </w:tc>
        <w:tc>
          <w:tcPr>
            <w:tcW w:type="dxa" w:w="1080"/>
          </w:tcPr>
          <w:p>
            <w:r>
              <w:rPr>
                <w:rFonts w:ascii="Calibri" w:hAnsi="Calibri"/>
                <w:sz w:val="22"/>
              </w:rPr>
              <w:t>Unchanged</w:t>
            </w:r>
          </w:p>
        </w:tc>
        <w:tc>
          <w:tcPr>
            <w:tcW w:type="dxa" w:w="1080"/>
          </w:tcPr>
          <w:p>
            <w:r>
              <w:rPr>
                <w:rFonts w:ascii="Calibri" w:hAnsi="Calibri"/>
                <w:sz w:val="22"/>
              </w:rPr>
              <w:t>Unchanged</w:t>
            </w:r>
          </w:p>
        </w:tc>
        <w:tc>
          <w:tcPr>
            <w:tcW w:type="dxa" w:w="1080"/>
          </w:tcPr>
          <w:p>
            <w:r>
              <w:rPr>
                <w:rFonts w:ascii="Calibri" w:hAnsi="Calibri"/>
                <w:sz w:val="22"/>
              </w:rPr>
              <w:t>In line</w:t>
            </w:r>
          </w:p>
        </w:tc>
      </w:tr>
    </w:tbl>
    <w:p>
      <w:r>
        <w:rPr>
          <w:rFonts w:ascii="Calibri" w:hAnsi="Calibri"/>
          <w:i/>
          <w:color w:val="525866"/>
          <w:sz w:val="22"/>
        </w:rPr>
        <w:t>Source: Visible Alpha Consensus and Actuals Data. Post-Q1 baseline uses consensus as of May 7, 2026 (5 trading days after April 30 earnings). Current consensus as of July 29, 2026. Guidance from WTW Q1 2026 Earnings Call and Earnings Release (April 30, 2026).</w:t>
      </w:r>
    </w:p>
    <w:p>
      <w:r>
        <w:rPr>
          <w:rFonts w:ascii="Calibri" w:hAnsi="Calibri"/>
          <w:color w:val="525866"/>
          <w:sz w:val="22"/>
        </w:rPr>
        <w:t xml:space="preserve">The near-zero revision delta between the post-Q1 baseline and today’s consensus is notable: the Street absorbed the Q1 miss quickly and has not revised further, implying the bar is set and stable. </w:t>
      </w:r>
      <w:r>
        <w:rPr>
          <w:rFonts w:ascii="Calibri" w:hAnsi="Calibri"/>
          <w:color w:val="525866"/>
          <w:sz w:val="22"/>
        </w:rPr>
        <w:t>The key risk is that FY organic growth consensus (~4.0%) sits at the very low end of management’s mid-single-digit guidance range, meaning any further deceleration would force a guidance cut and a second round of estimate reductions.</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The stock’s +23% recovery from its post-Q1 low has been driven almost entirely by multiple re-expansion (P/E re-rated from ~12.7x to ~15.0x NTM), not estimate upgrades — making the stock’s durability contingent on Q2 fundamental confirmation. </w:t>
      </w:r>
      <w:r>
        <w:rPr>
          <w:rFonts w:ascii="Calibri" w:hAnsi="Calibri"/>
          <w:color w:val="525866"/>
          <w:sz w:val="22"/>
        </w:rPr>
        <w:t>WTW has significantly outperformed both KIE (insurance sector ETF) and the S&amp;P 500 over the past month, but still lags both on a since-last-earnings basis.</w:t>
      </w:r>
    </w:p>
    <w:p>
      <w:r>
        <w:rPr>
          <w:rFonts w:ascii="Calibri" w:hAnsi="Calibri"/>
          <w:b/>
          <w:i/>
          <w:color w:val="525866"/>
          <w:sz w:val="22"/>
        </w:rPr>
        <w:t>Chart: WTW vs. KIE vs. S&amp;P 500 — Indexed Since April 30, 2026 (Last Earnings Date)</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Date</w:t>
            </w:r>
          </w:p>
        </w:tc>
        <w:tc>
          <w:tcPr>
            <w:tcW w:type="dxa" w:w="2160"/>
            <w:shd w:val="clear" w:color="auto" w:fill="3B4259"/>
          </w:tcPr>
          <w:p>
            <w:r>
              <w:rPr>
                <w:rFonts w:ascii="Calibri" w:hAnsi="Calibri"/>
                <w:b/>
                <w:color w:val="FFFFFF"/>
                <w:sz w:val="22"/>
              </w:rPr>
              <w:t>WTW (Indexed)</w:t>
            </w:r>
          </w:p>
        </w:tc>
        <w:tc>
          <w:tcPr>
            <w:tcW w:type="dxa" w:w="2160"/>
            <w:shd w:val="clear" w:color="auto" w:fill="3B4259"/>
          </w:tcPr>
          <w:p>
            <w:r>
              <w:rPr>
                <w:rFonts w:ascii="Calibri" w:hAnsi="Calibri"/>
                <w:b/>
                <w:color w:val="FFFFFF"/>
                <w:sz w:val="22"/>
              </w:rPr>
              <w:t>KIE (Indexed)</w:t>
            </w:r>
          </w:p>
        </w:tc>
        <w:tc>
          <w:tcPr>
            <w:tcW w:type="dxa" w:w="2160"/>
            <w:shd w:val="clear" w:color="auto" w:fill="3B4259"/>
          </w:tcPr>
          <w:p>
            <w:r>
              <w:rPr>
                <w:rFonts w:ascii="Calibri" w:hAnsi="Calibri"/>
                <w:b/>
                <w:color w:val="FFFFFF"/>
                <w:sz w:val="22"/>
              </w:rPr>
              <w:t>SPY (Indexed)</w:t>
            </w:r>
          </w:p>
        </w:tc>
      </w:tr>
      <w:tr>
        <w:tc>
          <w:tcPr>
            <w:tcW w:type="dxa" w:w="2160"/>
          </w:tcPr>
          <w:p>
            <w:r>
              <w:rPr>
                <w:rFonts w:ascii="Calibri" w:hAnsi="Calibri"/>
                <w:sz w:val="22"/>
              </w:rPr>
              <w:t>Apr 30, 2026 (Base = 100)</w:t>
            </w:r>
          </w:p>
        </w:tc>
        <w:tc>
          <w:tcPr>
            <w:tcW w:type="dxa" w:w="2160"/>
          </w:tcPr>
          <w:p>
            <w:r>
              <w:rPr>
                <w:rFonts w:ascii="Calibri" w:hAnsi="Calibri"/>
                <w:sz w:val="22"/>
              </w:rPr>
              <w:t>100.0</w:t>
            </w:r>
          </w:p>
        </w:tc>
        <w:tc>
          <w:tcPr>
            <w:tcW w:type="dxa" w:w="2160"/>
          </w:tcPr>
          <w:p>
            <w:r>
              <w:rPr>
                <w:rFonts w:ascii="Calibri" w:hAnsi="Calibri"/>
                <w:sz w:val="22"/>
              </w:rPr>
              <w:t>100.0</w:t>
            </w:r>
          </w:p>
        </w:tc>
        <w:tc>
          <w:tcPr>
            <w:tcW w:type="dxa" w:w="2160"/>
          </w:tcPr>
          <w:p>
            <w:r>
              <w:rPr>
                <w:rFonts w:ascii="Calibri" w:hAnsi="Calibri"/>
                <w:sz w:val="22"/>
              </w:rPr>
              <w:t>100.0</w:t>
            </w:r>
          </w:p>
        </w:tc>
      </w:tr>
      <w:tr>
        <w:tc>
          <w:tcPr>
            <w:tcW w:type="dxa" w:w="2160"/>
          </w:tcPr>
          <w:p>
            <w:r>
              <w:rPr>
                <w:rFonts w:ascii="Calibri" w:hAnsi="Calibri"/>
                <w:sz w:val="22"/>
              </w:rPr>
              <w:t>May 13, 2026 (trough)</w:t>
            </w:r>
          </w:p>
        </w:tc>
        <w:tc>
          <w:tcPr>
            <w:tcW w:type="dxa" w:w="2160"/>
          </w:tcPr>
          <w:p>
            <w:r>
              <w:rPr>
                <w:rFonts w:ascii="Calibri" w:hAnsi="Calibri"/>
                <w:sz w:val="22"/>
              </w:rPr>
              <w:t>94.5</w:t>
            </w:r>
          </w:p>
        </w:tc>
        <w:tc>
          <w:tcPr>
            <w:tcW w:type="dxa" w:w="2160"/>
          </w:tcPr>
          <w:p>
            <w:r>
              <w:rPr>
                <w:rFonts w:ascii="Calibri" w:hAnsi="Calibri"/>
                <w:sz w:val="22"/>
              </w:rPr>
              <w:t>97.2</w:t>
            </w:r>
          </w:p>
        </w:tc>
        <w:tc>
          <w:tcPr>
            <w:tcW w:type="dxa" w:w="2160"/>
          </w:tcPr>
          <w:p>
            <w:r>
              <w:rPr>
                <w:rFonts w:ascii="Calibri" w:hAnsi="Calibri"/>
                <w:sz w:val="22"/>
              </w:rPr>
              <w:t>103.3</w:t>
            </w:r>
          </w:p>
        </w:tc>
      </w:tr>
      <w:tr>
        <w:tc>
          <w:tcPr>
            <w:tcW w:type="dxa" w:w="2160"/>
          </w:tcPr>
          <w:p>
            <w:r>
              <w:rPr>
                <w:rFonts w:ascii="Calibri" w:hAnsi="Calibri"/>
                <w:sz w:val="22"/>
              </w:rPr>
              <w:t>May 29, 2026</w:t>
            </w:r>
          </w:p>
        </w:tc>
        <w:tc>
          <w:tcPr>
            <w:tcW w:type="dxa" w:w="2160"/>
          </w:tcPr>
          <w:p>
            <w:r>
              <w:rPr>
                <w:rFonts w:ascii="Calibri" w:hAnsi="Calibri"/>
                <w:sz w:val="22"/>
              </w:rPr>
              <w:t>97.5</w:t>
            </w:r>
          </w:p>
        </w:tc>
        <w:tc>
          <w:tcPr>
            <w:tcW w:type="dxa" w:w="2160"/>
          </w:tcPr>
          <w:p>
            <w:r>
              <w:rPr>
                <w:rFonts w:ascii="Calibri" w:hAnsi="Calibri"/>
                <w:sz w:val="22"/>
              </w:rPr>
              <w:t>96.2</w:t>
            </w:r>
          </w:p>
        </w:tc>
        <w:tc>
          <w:tcPr>
            <w:tcW w:type="dxa" w:w="2160"/>
          </w:tcPr>
          <w:p>
            <w:r>
              <w:rPr>
                <w:rFonts w:ascii="Calibri" w:hAnsi="Calibri"/>
                <w:sz w:val="22"/>
              </w:rPr>
              <w:t>105.2</w:t>
            </w:r>
          </w:p>
        </w:tc>
      </w:tr>
      <w:tr>
        <w:tc>
          <w:tcPr>
            <w:tcW w:type="dxa" w:w="2160"/>
          </w:tcPr>
          <w:p>
            <w:r>
              <w:rPr>
                <w:rFonts w:ascii="Calibri" w:hAnsi="Calibri"/>
                <w:sz w:val="22"/>
              </w:rPr>
              <w:t>Jun 30, 2026</w:t>
            </w:r>
          </w:p>
        </w:tc>
        <w:tc>
          <w:tcPr>
            <w:tcW w:type="dxa" w:w="2160"/>
          </w:tcPr>
          <w:p>
            <w:r>
              <w:rPr>
                <w:rFonts w:ascii="Calibri" w:hAnsi="Calibri"/>
                <w:sz w:val="22"/>
              </w:rPr>
              <w:t>102.0</w:t>
            </w:r>
          </w:p>
        </w:tc>
        <w:tc>
          <w:tcPr>
            <w:tcW w:type="dxa" w:w="2160"/>
          </w:tcPr>
          <w:p>
            <w:r>
              <w:rPr>
                <w:rFonts w:ascii="Calibri" w:hAnsi="Calibri"/>
                <w:sz w:val="22"/>
              </w:rPr>
              <w:t>106.4</w:t>
            </w:r>
          </w:p>
        </w:tc>
        <w:tc>
          <w:tcPr>
            <w:tcW w:type="dxa" w:w="2160"/>
          </w:tcPr>
          <w:p>
            <w:r>
              <w:rPr>
                <w:rFonts w:ascii="Calibri" w:hAnsi="Calibri"/>
                <w:sz w:val="22"/>
              </w:rPr>
              <w:t>104.9</w:t>
            </w:r>
          </w:p>
        </w:tc>
      </w:tr>
      <w:tr>
        <w:tc>
          <w:tcPr>
            <w:tcW w:type="dxa" w:w="2160"/>
          </w:tcPr>
          <w:p>
            <w:r>
              <w:rPr>
                <w:rFonts w:ascii="Calibri" w:hAnsi="Calibri"/>
                <w:sz w:val="22"/>
              </w:rPr>
              <w:t>Jul 2, 2026</w:t>
            </w:r>
          </w:p>
        </w:tc>
        <w:tc>
          <w:tcPr>
            <w:tcW w:type="dxa" w:w="2160"/>
          </w:tcPr>
          <w:p>
            <w:r>
              <w:rPr>
                <w:rFonts w:ascii="Calibri" w:hAnsi="Calibri"/>
                <w:sz w:val="22"/>
              </w:rPr>
              <w:t>111.7</w:t>
            </w:r>
          </w:p>
        </w:tc>
        <w:tc>
          <w:tcPr>
            <w:tcW w:type="dxa" w:w="2160"/>
          </w:tcPr>
          <w:p>
            <w:r>
              <w:rPr>
                <w:rFonts w:ascii="Calibri" w:hAnsi="Calibri"/>
                <w:sz w:val="22"/>
              </w:rPr>
              <w:t>111.8</w:t>
            </w:r>
          </w:p>
        </w:tc>
        <w:tc>
          <w:tcPr>
            <w:tcW w:type="dxa" w:w="2160"/>
          </w:tcPr>
          <w:p>
            <w:r>
              <w:rPr>
                <w:rFonts w:ascii="Calibri" w:hAnsi="Calibri"/>
                <w:sz w:val="22"/>
              </w:rPr>
              <w:t>104.7</w:t>
            </w:r>
          </w:p>
        </w:tc>
      </w:tr>
      <w:tr>
        <w:tc>
          <w:tcPr>
            <w:tcW w:type="dxa" w:w="2160"/>
          </w:tcPr>
          <w:p>
            <w:r>
              <w:rPr>
                <w:rFonts w:ascii="Calibri" w:hAnsi="Calibri"/>
                <w:sz w:val="22"/>
              </w:rPr>
              <w:t>Jul 28, 2026</w:t>
            </w:r>
          </w:p>
        </w:tc>
        <w:tc>
          <w:tcPr>
            <w:tcW w:type="dxa" w:w="2160"/>
          </w:tcPr>
          <w:p>
            <w:r>
              <w:rPr>
                <w:rFonts w:ascii="Calibri" w:hAnsi="Calibri"/>
                <w:sz w:val="22"/>
              </w:rPr>
              <w:t>123.4</w:t>
            </w:r>
          </w:p>
        </w:tc>
        <w:tc>
          <w:tcPr>
            <w:tcW w:type="dxa" w:w="2160"/>
          </w:tcPr>
          <w:p>
            <w:r>
              <w:rPr>
                <w:rFonts w:ascii="Calibri" w:hAnsi="Calibri"/>
                <w:sz w:val="22"/>
              </w:rPr>
              <w:t>115.9</w:t>
            </w:r>
          </w:p>
        </w:tc>
        <w:tc>
          <w:tcPr>
            <w:tcW w:type="dxa" w:w="2160"/>
          </w:tcPr>
          <w:p>
            <w:r>
              <w:rPr>
                <w:rFonts w:ascii="Calibri" w:hAnsi="Calibri"/>
                <w:sz w:val="22"/>
              </w:rPr>
              <w:t>104.1</w:t>
            </w:r>
          </w:p>
        </w:tc>
      </w:tr>
    </w:tbl>
    <w:p>
      <w:r>
        <w:rPr>
          <w:rFonts w:ascii="Calibri" w:hAnsi="Calibri"/>
          <w:i/>
          <w:color w:val="525866"/>
          <w:sz w:val="22"/>
        </w:rPr>
        <w:t>Note: Indexed to 100 at April 30, 2026 close (WTW: $256.20, KIE: $57.33, SPY: $718.66). KIE = SPDR S&amp;P Insurance ETF, the appropriate sector benchmark for WTW’s insurance brokerage and consulting business. Source: Stock Price Data (Yahoo Finance).</w:t>
      </w:r>
    </w:p>
    <w:p>
      <w:r>
        <w:rPr>
          <w:rFonts w:ascii="Calibri" w:hAnsi="Calibri"/>
          <w:b/>
          <w:color w:val="525866"/>
          <w:sz w:val="22"/>
        </w:rPr>
        <w:t>Key events since last earnings:</w:t>
      </w:r>
    </w:p>
    <w:p>
      <w:pPr>
        <w:pStyle w:val="ListBullet"/>
        <w:ind w:left="360" w:hanging="360"/>
      </w:pPr>
      <w:r>
        <w:rPr>
          <w:rFonts w:ascii="Calibri" w:hAnsi="Calibri"/>
          <w:b/>
          <w:color w:val="525866"/>
          <w:sz w:val="22"/>
        </w:rPr>
        <w:t xml:space="preserve">Apr 30, 2026: </w:t>
      </w:r>
      <w:r>
        <w:rPr>
          <w:rFonts w:ascii="Calibri" w:hAnsi="Calibri"/>
          <w:color w:val="525866"/>
          <w:sz w:val="22"/>
        </w:rPr>
        <w:t>Q1 2026 earnings — stock fell ~11.7% (from $290.11 pre-close to $256.20) on organic revenue miss and R&amp;B guidance narrowing.</w:t>
      </w:r>
    </w:p>
    <w:p>
      <w:pPr>
        <w:pStyle w:val="ListBullet"/>
        <w:ind w:left="360" w:hanging="360"/>
      </w:pPr>
      <w:r>
        <w:rPr>
          <w:rFonts w:ascii="Calibri" w:hAnsi="Calibri"/>
          <w:b/>
          <w:color w:val="525866"/>
          <w:sz w:val="22"/>
        </w:rPr>
        <w:t xml:space="preserve">May 5–6, 2026: </w:t>
      </w:r>
      <w:r>
        <w:rPr>
          <w:rFonts w:ascii="Calibri" w:hAnsi="Calibri"/>
          <w:color w:val="525866"/>
          <w:sz w:val="22"/>
        </w:rPr>
        <w:t>CEO Carl Hess and R&amp;B President Lucy Clarke open-market purchased shares ($3.72 and $3.66 per share equivalent value) — strong insider buy signal at post-earnings lows.</w:t>
      </w:r>
    </w:p>
    <w:p>
      <w:pPr>
        <w:pStyle w:val="ListBullet"/>
        <w:ind w:left="360" w:hanging="360"/>
      </w:pPr>
      <w:r>
        <w:rPr>
          <w:rFonts w:ascii="Calibri" w:hAnsi="Calibri"/>
          <w:b/>
          <w:color w:val="525866"/>
          <w:sz w:val="22"/>
        </w:rPr>
        <w:t xml:space="preserve">May 13, 2026: </w:t>
      </w:r>
      <w:r>
        <w:rPr>
          <w:rFonts w:ascii="Calibri" w:hAnsi="Calibri"/>
          <w:color w:val="525866"/>
          <w:sz w:val="22"/>
        </w:rPr>
        <w:t>WTW reached its post-Q1 trough at $242.12, down ~16.5% from pre-earnings close.</w:t>
      </w:r>
    </w:p>
    <w:p>
      <w:pPr>
        <w:pStyle w:val="ListBullet"/>
        <w:ind w:left="360" w:hanging="360"/>
      </w:pPr>
      <w:r>
        <w:rPr>
          <w:rFonts w:ascii="Calibri" w:hAnsi="Calibri"/>
          <w:b/>
          <w:color w:val="525866"/>
          <w:sz w:val="22"/>
        </w:rPr>
        <w:t xml:space="preserve">Early July 2026: </w:t>
      </w:r>
      <w:r>
        <w:rPr>
          <w:rFonts w:ascii="Calibri" w:hAnsi="Calibri"/>
          <w:color w:val="525866"/>
          <w:sz w:val="22"/>
        </w:rPr>
        <w:t>Stock began sharp recovery, reaching $286–$295 range as sector sentiment improved and peers (MMC, AON) reported solid Q2 results.</w:t>
      </w:r>
    </w:p>
    <w:p>
      <w:pPr>
        <w:pStyle w:val="ListBullet"/>
        <w:ind w:left="360" w:hanging="360"/>
      </w:pPr>
      <w:r>
        <w:rPr>
          <w:rFonts w:ascii="Calibri" w:hAnsi="Calibri"/>
          <w:b/>
          <w:color w:val="525866"/>
          <w:sz w:val="22"/>
        </w:rPr>
        <w:t xml:space="preserve">Jul 28, 2026: </w:t>
      </w:r>
      <w:r>
        <w:rPr>
          <w:rFonts w:ascii="Calibri" w:hAnsi="Calibri"/>
          <w:color w:val="525866"/>
          <w:sz w:val="22"/>
        </w:rPr>
        <w:t>Stock closed at $316.16, up ~23.4% from post-Q1 trough and up ~23.4% from earnings-day close, driven by multiple re-expansion and sector rotation into insurance names.</w:t>
      </w:r>
    </w:p>
    <w:p>
      <w:r>
        <w:rPr>
          <w:rFonts w:ascii="Calibri" w:hAnsi="Calibri"/>
          <w:b/>
          <w:color w:val="525866"/>
          <w:sz w:val="22"/>
        </w:rPr>
        <w:t xml:space="preserve">Valuation context: </w:t>
      </w:r>
      <w:r>
        <w:rPr>
          <w:rFonts w:ascii="Calibri" w:hAnsi="Calibri"/>
          <w:color w:val="525866"/>
          <w:sz w:val="22"/>
        </w:rPr>
        <w:t>WTW currently trades at ~15.0x NTM P/E (vs. ~12.7x at the post-Q1 trough), representing meaningful multiple re-expansion. The 1-month price gain of +19.4% was driven ~15% by multiple expansion and ~4% by earnings estimate changes, per the stock performance decomposition. At 15x NTM P/E, WTW trades at a discount to MMC (~20x) and AON (~22x), but the gap reflects WTW’s lower organic growth profile and higher execution risk. Source: Stock Performance Decomposition Data.</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The most important development since Q1 earnings is the combination of CEO and R&amp;B President open-market share purchases at post-earnings lows and the Neuron AI OS rollout — together signaling management conviction in the recovery thesis and a potential competitive differentiation catalyst heading into Q2.</w:t>
      </w:r>
    </w:p>
    <w:p>
      <w:pPr>
        <w:pStyle w:val="ListBullet"/>
        <w:ind w:left="360" w:hanging="360"/>
      </w:pPr>
      <w:r>
        <w:rPr>
          <w:rFonts w:ascii="Calibri" w:hAnsi="Calibri"/>
          <w:b/>
          <w:color w:val="525866"/>
          <w:sz w:val="22"/>
        </w:rPr>
        <w:t xml:space="preserve">May 5–6, 2026 — CEO and R&amp;B President Open-Market Share Purchases: </w:t>
      </w:r>
      <w:r>
        <w:rPr>
          <w:rFonts w:ascii="Calibri" w:hAnsi="Calibri"/>
          <w:color w:val="525866"/>
          <w:sz w:val="22"/>
        </w:rPr>
        <w:t>CEO Carl Hess purchased 2,000 shares (~$513K) and R&amp;B President Lucy Clarke purchased 1,896 shares (~$487K) in open-market transactions at post-earnings lows. This is a strong insider conviction signal — both the CEO and the segment head most responsible for the Q1 miss bought stock within days of the print. Implication: Management believes the Q1 deceleration was transitory and the stock was oversold.</w:t>
      </w:r>
    </w:p>
    <w:p>
      <w:pPr>
        <w:pStyle w:val="ListBullet"/>
        <w:ind w:left="360" w:hanging="360"/>
      </w:pPr>
      <w:r>
        <w:rPr>
          <w:rFonts w:ascii="Calibri" w:hAnsi="Calibri"/>
          <w:b/>
          <w:color w:val="525866"/>
          <w:sz w:val="22"/>
        </w:rPr>
        <w:t xml:space="preserve">Q1 2026 Earnings (Apr 30, 2026) — R&amp;B Guidance Narrowed, April Signal Positive: </w:t>
      </w:r>
      <w:r>
        <w:rPr>
          <w:rFonts w:ascii="Calibri" w:hAnsi="Calibri"/>
          <w:color w:val="525866"/>
          <w:sz w:val="22"/>
        </w:rPr>
        <w:t>WTW narrowed full-year R&amp;B organic growth guidance to mid-single digits (from mid-to-high single digits). However, management explicitly flagged that April returned to “mid-single digit or better” normalized growth, providing the key forward signal for Q2. Implication: The Q1 miss was partly timing-driven (new business slipped into future quarters); Q2 is the first test of whether the recovery is real.</w:t>
      </w:r>
    </w:p>
    <w:p>
      <w:pPr>
        <w:pStyle w:val="ListBullet"/>
        <w:ind w:left="360" w:hanging="360"/>
      </w:pPr>
      <w:r>
        <w:rPr>
          <w:rFonts w:ascii="Calibri" w:hAnsi="Calibri"/>
          <w:b/>
          <w:color w:val="525866"/>
          <w:sz w:val="22"/>
        </w:rPr>
        <w:t xml:space="preserve">Q1 2026 — Neuron AI Operating System Rollout Across R&amp;B: </w:t>
      </w:r>
      <w:r>
        <w:rPr>
          <w:rFonts w:ascii="Calibri" w:hAnsi="Calibri"/>
          <w:color w:val="525866"/>
          <w:sz w:val="22"/>
        </w:rPr>
        <w:t>WTW began implementing its AI-powered “Neuron” operating system across the R&amp;B business following two successful pilots in H2 2025, integrating Newfront’s technology to reduce administrative burden and add agentic capabilities. Spike Lipkin (Newfront co-founder) was appointed Chief AI Officer. Implication: AI-driven efficiency gains could support margin expansion even if organic growth remains modest; also a competitive differentiation story vs. peers.</w:t>
      </w:r>
    </w:p>
    <w:p>
      <w:pPr>
        <w:pStyle w:val="ListBullet"/>
        <w:ind w:left="360" w:hanging="360"/>
      </w:pPr>
      <w:r>
        <w:rPr>
          <w:rFonts w:ascii="Calibri" w:hAnsi="Calibri"/>
          <w:b/>
          <w:color w:val="525866"/>
          <w:sz w:val="22"/>
        </w:rPr>
        <w:t xml:space="preserve">Q1 2026 — Newfront Integration Progressing: </w:t>
      </w:r>
      <w:r>
        <w:rPr>
          <w:rFonts w:ascii="Calibri" w:hAnsi="Calibri"/>
          <w:color w:val="525866"/>
          <w:sz w:val="22"/>
        </w:rPr>
        <w:t>Newfront’s technology is being embedded with WTW’s professional teams, with specific agentic tools (coverage gap analysis, navigator, partner management) rolled out. Newfront expected to contribute ~$250M post-close revenue in 2026 at ~26% adj. EBITDA margin, with ~$0.10 EPS dilution. Implication: Integration execution is a key watch item for Q2; any commentary on Newfront revenue ramp will be closely watched.</w:t>
      </w:r>
    </w:p>
    <w:p>
      <w:pPr>
        <w:pStyle w:val="ListBullet"/>
        <w:ind w:left="360" w:hanging="360"/>
      </w:pPr>
      <w:r>
        <w:rPr>
          <w:rFonts w:ascii="Calibri" w:hAnsi="Calibri"/>
          <w:b/>
          <w:color w:val="525866"/>
          <w:sz w:val="22"/>
        </w:rPr>
        <w:t xml:space="preserve">Jul 13, 2026 — WTW Announces Q2 2026 Earnings Date: </w:t>
      </w:r>
      <w:r>
        <w:rPr>
          <w:rFonts w:ascii="Calibri" w:hAnsi="Calibri"/>
          <w:color w:val="525866"/>
          <w:sz w:val="22"/>
        </w:rPr>
        <w:t>WTW confirmed July 30, 2026 as the Q2 earnings date, with a 9:00 AM ET conference call. No pre-announcement or guidance update was issued alongside the announcement. Implication: Absence of a pre-announcement is mildly positive — no negative surprise was material enough to warrant early disclosure.</w:t>
      </w:r>
    </w:p>
    <w:p>
      <w:pPr>
        <w:pStyle w:val="ListBullet"/>
        <w:ind w:left="360" w:hanging="360"/>
      </w:pPr>
      <w:r>
        <w:rPr>
          <w:rFonts w:ascii="Calibri" w:hAnsi="Calibri"/>
          <w:b/>
          <w:color w:val="525866"/>
          <w:sz w:val="22"/>
        </w:rPr>
        <w:t xml:space="preserve">Jul 21, 2026 — MMC Reports Strong Q2 2026 Results: </w:t>
      </w:r>
      <w:r>
        <w:rPr>
          <w:rFonts w:ascii="Calibri" w:hAnsi="Calibri"/>
          <w:color w:val="525866"/>
          <w:sz w:val="22"/>
        </w:rPr>
        <w:t>Marsh McLennan reported 5% underlying revenue growth and 70 bps margin expansion in Q2, with strong new business in commercial risk and reinsurance. Implication: Positive read-through for WTW’s R&amp;B segment; suggests the demand environment for large brokers was healthy in Q2 despite pricing headwinds.</w:t>
      </w:r>
    </w:p>
    <w:p>
      <w:pPr>
        <w:pStyle w:val="ListBullet"/>
        <w:ind w:left="360" w:hanging="360"/>
      </w:pPr>
      <w:r>
        <w:rPr>
          <w:rFonts w:ascii="Calibri" w:hAnsi="Calibri"/>
          <w:b/>
          <w:color w:val="525866"/>
          <w:sz w:val="22"/>
        </w:rPr>
        <w:t xml:space="preserve">Jul 28–29, 2026 — BRO and AON Report Q2 2026 Results: </w:t>
      </w:r>
      <w:r>
        <w:rPr>
          <w:rFonts w:ascii="Calibri" w:hAnsi="Calibri"/>
          <w:color w:val="525866"/>
          <w:sz w:val="22"/>
        </w:rPr>
        <w:t>Brown &amp; Brown reported EPS in line but organic revenue -0.7% (vs. +0.5% consensus), while AON reported 5% organic growth (vs. 4.8% consensus) with EPS of $3.81 (vs. $3.80 consensus). AON reiterated full-year guidance. Implication: Mixed read-through — BRO’s organic miss suggests pricing headwinds are real, but AON’s beat and guidance reiteration is more directly comparable to WTW’s large-account brokerage business.</w:t>
      </w:r>
    </w:p>
    <w:p>
      <w:pPr>
        <w:pStyle w:val="ListBullet"/>
        <w:ind w:left="360" w:hanging="360"/>
      </w:pPr>
      <w:r>
        <w:rPr>
          <w:rFonts w:ascii="Calibri" w:hAnsi="Calibri"/>
          <w:b/>
          <w:color w:val="525866"/>
          <w:sz w:val="22"/>
        </w:rPr>
        <w:t xml:space="preserve">Ongoing — Middle East Geopolitical Uncertainty: </w:t>
      </w:r>
      <w:r>
        <w:rPr>
          <w:rFonts w:ascii="Calibri" w:hAnsi="Calibri"/>
          <w:color w:val="525866"/>
          <w:sz w:val="22"/>
        </w:rPr>
        <w:t>Conflict in the Middle East has been an explicit headwind for WTW’s Career business (significant pullback on advisory projects) and international broking. MMC also flagged slower sales in the region in Q2. Implication: If conditions persisted through June, Career could again disappoint; if they moderated, HWC could surprise to the upside.</w:t>
      </w:r>
    </w:p>
    <w:p>
      <w:pPr>
        <w:pStyle w:val="ListBullet"/>
        <w:ind w:left="360" w:hanging="360"/>
      </w:pPr>
      <w:r>
        <w:rPr>
          <w:rFonts w:ascii="Calibri" w:hAnsi="Calibri"/>
          <w:b/>
          <w:color w:val="525866"/>
          <w:sz w:val="22"/>
        </w:rPr>
        <w:t xml:space="preserve">Ongoing — Commercial Insurance Pricing Softening: </w:t>
      </w:r>
      <w:r>
        <w:rPr>
          <w:rFonts w:ascii="Calibri" w:hAnsi="Calibri"/>
          <w:color w:val="525866"/>
          <w:sz w:val="22"/>
        </w:rPr>
        <w:t>The Marsh Global Insurance Market Index showed primary commercial insurance rates down 6% in Q2 2026 (accelerating from -5% in Q1), with property rates down 12% globally. This is a headwind for brokerage commission revenue, partially offset by exposure growth and new business. Implication: WTW’s R&amp;B revenue growth will need to be driven by new business and retention rather than pricing tailwinds.</w:t>
      </w:r>
    </w:p>
    <w:p>
      <w:r>
        <w:br w:type="page"/>
      </w:r>
    </w:p>
    <w:p>
      <w:pPr>
        <w:pStyle w:val="Heading2"/>
      </w:pPr>
      <w:r>
        <w:rPr>
          <w:rFonts w:ascii="Calibri" w:hAnsi="Calibri"/>
          <w:b/>
          <w:color w:val="3B4259"/>
          <w:sz w:val="28"/>
        </w:rPr>
        <w:t>7. Insider Transaction Activity</w:t>
      </w:r>
    </w:p>
    <w:p>
      <w:r>
        <w:rPr>
          <w:rFonts w:ascii="Calibri" w:hAnsi="Calibri"/>
          <w:b/>
          <w:color w:val="525866"/>
          <w:sz w:val="22"/>
        </w:rPr>
        <w:t xml:space="preserve">Key Takeaway: </w:t>
      </w:r>
      <w:r>
        <w:rPr>
          <w:rFonts w:ascii="Calibri" w:hAnsi="Calibri"/>
          <w:color w:val="525866"/>
          <w:sz w:val="22"/>
        </w:rPr>
        <w:t>Two significant open-market purchases by the CEO and R&amp;B President within days of the Q1 earnings miss are the most notable insider signal in the period — both bought at post-earnings lows, representing a meaningful conviction signal that the Q1 deceleration was transitory.</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Name</w:t>
            </w:r>
          </w:p>
        </w:tc>
        <w:tc>
          <w:tcPr>
            <w:tcW w:type="dxa" w:w="1234"/>
            <w:shd w:val="clear" w:color="auto" w:fill="3B4259"/>
          </w:tcPr>
          <w:p>
            <w:r>
              <w:rPr>
                <w:rFonts w:ascii="Calibri" w:hAnsi="Calibri"/>
                <w:b/>
                <w:color w:val="FFFFFF"/>
                <w:sz w:val="22"/>
              </w:rPr>
              <w:t>Title</w:t>
            </w:r>
          </w:p>
        </w:tc>
        <w:tc>
          <w:tcPr>
            <w:tcW w:type="dxa" w:w="1234"/>
            <w:shd w:val="clear" w:color="auto" w:fill="3B4259"/>
          </w:tcPr>
          <w:p>
            <w:r>
              <w:rPr>
                <w:rFonts w:ascii="Calibri" w:hAnsi="Calibri"/>
                <w:b/>
                <w:color w:val="FFFFFF"/>
                <w:sz w:val="22"/>
              </w:rPr>
              <w:t>Transaction Type</w:t>
            </w:r>
          </w:p>
        </w:tc>
        <w:tc>
          <w:tcPr>
            <w:tcW w:type="dxa" w:w="1234"/>
            <w:shd w:val="clear" w:color="auto" w:fill="3B4259"/>
          </w:tcPr>
          <w:p>
            <w:r>
              <w:rPr>
                <w:rFonts w:ascii="Calibri" w:hAnsi="Calibri"/>
                <w:b/>
                <w:color w:val="FFFFFF"/>
                <w:sz w:val="22"/>
              </w:rPr>
              <w:t>Shares</w:t>
            </w:r>
          </w:p>
        </w:tc>
        <w:tc>
          <w:tcPr>
            <w:tcW w:type="dxa" w:w="1234"/>
            <w:shd w:val="clear" w:color="auto" w:fill="3B4259"/>
          </w:tcPr>
          <w:p>
            <w:r>
              <w:rPr>
                <w:rFonts w:ascii="Calibri" w:hAnsi="Calibri"/>
                <w:b/>
                <w:color w:val="FFFFFF"/>
                <w:sz w:val="22"/>
              </w:rPr>
              <w:t>Approx. Value</w:t>
            </w:r>
          </w:p>
        </w:tc>
        <w:tc>
          <w:tcPr>
            <w:tcW w:type="dxa" w:w="1234"/>
            <w:shd w:val="clear" w:color="auto" w:fill="3B4259"/>
          </w:tcPr>
          <w:p>
            <w:r>
              <w:rPr>
                <w:rFonts w:ascii="Calibri" w:hAnsi="Calibri"/>
                <w:b/>
                <w:color w:val="FFFFFF"/>
                <w:sz w:val="22"/>
              </w:rPr>
              <w:t>Transaction Date</w:t>
            </w:r>
          </w:p>
        </w:tc>
        <w:tc>
          <w:tcPr>
            <w:tcW w:type="dxa" w:w="1234"/>
            <w:shd w:val="clear" w:color="auto" w:fill="3B4259"/>
          </w:tcPr>
          <w:p>
            <w:r>
              <w:rPr>
                <w:rFonts w:ascii="Calibri" w:hAnsi="Calibri"/>
                <w:b/>
                <w:color w:val="FFFFFF"/>
                <w:sz w:val="22"/>
              </w:rPr>
              <w:t>Note</w:t>
            </w:r>
          </w:p>
        </w:tc>
      </w:tr>
      <w:tr>
        <w:tc>
          <w:tcPr>
            <w:tcW w:type="dxa" w:w="1234"/>
          </w:tcPr>
          <w:p>
            <w:r>
              <w:rPr>
                <w:rFonts w:ascii="Calibri" w:hAnsi="Calibri"/>
                <w:sz w:val="22"/>
              </w:rPr>
              <w:t>Carl Aaron Hess</w:t>
            </w:r>
          </w:p>
        </w:tc>
        <w:tc>
          <w:tcPr>
            <w:tcW w:type="dxa" w:w="1234"/>
          </w:tcPr>
          <w:p>
            <w:r>
              <w:rPr>
                <w:rFonts w:ascii="Calibri" w:hAnsi="Calibri"/>
                <w:sz w:val="22"/>
              </w:rPr>
              <w:t>Chief Executive Officer &amp; Director</w:t>
            </w:r>
          </w:p>
        </w:tc>
        <w:tc>
          <w:tcPr>
            <w:tcW w:type="dxa" w:w="1234"/>
          </w:tcPr>
          <w:p>
            <w:r>
              <w:rPr>
                <w:rFonts w:ascii="Calibri" w:hAnsi="Calibri"/>
                <w:b/>
                <w:color w:val="30A46C"/>
                <w:sz w:val="22"/>
              </w:rPr>
              <w:t>Open Market Buy</w:t>
            </w:r>
          </w:p>
        </w:tc>
        <w:tc>
          <w:tcPr>
            <w:tcW w:type="dxa" w:w="1234"/>
          </w:tcPr>
          <w:p>
            <w:r>
              <w:rPr>
                <w:rFonts w:ascii="Calibri" w:hAnsi="Calibri"/>
                <w:sz w:val="22"/>
              </w:rPr>
              <w:t>2,000</w:t>
            </w:r>
          </w:p>
        </w:tc>
        <w:tc>
          <w:tcPr>
            <w:tcW w:type="dxa" w:w="1234"/>
          </w:tcPr>
          <w:p>
            <w:r>
              <w:rPr>
                <w:rFonts w:ascii="Calibri" w:hAnsi="Calibri"/>
                <w:sz w:val="22"/>
              </w:rPr>
              <w:t>~$513K</w:t>
            </w:r>
          </w:p>
        </w:tc>
        <w:tc>
          <w:tcPr>
            <w:tcW w:type="dxa" w:w="1234"/>
          </w:tcPr>
          <w:p>
            <w:r>
              <w:rPr>
                <w:rFonts w:ascii="Calibri" w:hAnsi="Calibri"/>
                <w:sz w:val="22"/>
              </w:rPr>
              <w:t>May 4, 2026</w:t>
            </w:r>
          </w:p>
        </w:tc>
        <w:tc>
          <w:tcPr>
            <w:tcW w:type="dxa" w:w="1234"/>
          </w:tcPr>
          <w:p>
            <w:r>
              <w:rPr>
                <w:rFonts w:ascii="Calibri" w:hAnsi="Calibri"/>
                <w:sz w:val="22"/>
              </w:rPr>
              <w:t>Discretionary purchase 4 days after Q1 earnings miss; stock near 2-year low. Not a 10b5-1 plan. Strong conviction signal.</w:t>
            </w:r>
          </w:p>
        </w:tc>
      </w:tr>
      <w:tr>
        <w:tc>
          <w:tcPr>
            <w:tcW w:type="dxa" w:w="1234"/>
          </w:tcPr>
          <w:p>
            <w:r>
              <w:rPr>
                <w:rFonts w:ascii="Calibri" w:hAnsi="Calibri"/>
                <w:sz w:val="22"/>
              </w:rPr>
              <w:t>Lucy Clarke</w:t>
            </w:r>
          </w:p>
        </w:tc>
        <w:tc>
          <w:tcPr>
            <w:tcW w:type="dxa" w:w="1234"/>
          </w:tcPr>
          <w:p>
            <w:r>
              <w:rPr>
                <w:rFonts w:ascii="Calibri" w:hAnsi="Calibri"/>
                <w:sz w:val="22"/>
              </w:rPr>
              <w:t>President, Risk &amp; Broking</w:t>
            </w:r>
          </w:p>
        </w:tc>
        <w:tc>
          <w:tcPr>
            <w:tcW w:type="dxa" w:w="1234"/>
          </w:tcPr>
          <w:p>
            <w:r>
              <w:rPr>
                <w:rFonts w:ascii="Calibri" w:hAnsi="Calibri"/>
                <w:b/>
                <w:color w:val="30A46C"/>
                <w:sz w:val="22"/>
              </w:rPr>
              <w:t>Open Market Buy</w:t>
            </w:r>
          </w:p>
        </w:tc>
        <w:tc>
          <w:tcPr>
            <w:tcW w:type="dxa" w:w="1234"/>
          </w:tcPr>
          <w:p>
            <w:r>
              <w:rPr>
                <w:rFonts w:ascii="Calibri" w:hAnsi="Calibri"/>
                <w:sz w:val="22"/>
              </w:rPr>
              <w:t>1,896</w:t>
            </w:r>
          </w:p>
        </w:tc>
        <w:tc>
          <w:tcPr>
            <w:tcW w:type="dxa" w:w="1234"/>
          </w:tcPr>
          <w:p>
            <w:r>
              <w:rPr>
                <w:rFonts w:ascii="Calibri" w:hAnsi="Calibri"/>
                <w:sz w:val="22"/>
              </w:rPr>
              <w:t>~$487K</w:t>
            </w:r>
          </w:p>
        </w:tc>
        <w:tc>
          <w:tcPr>
            <w:tcW w:type="dxa" w:w="1234"/>
          </w:tcPr>
          <w:p>
            <w:r>
              <w:rPr>
                <w:rFonts w:ascii="Calibri" w:hAnsi="Calibri"/>
                <w:sz w:val="22"/>
              </w:rPr>
              <w:t>May 6, 2026</w:t>
            </w:r>
          </w:p>
        </w:tc>
        <w:tc>
          <w:tcPr>
            <w:tcW w:type="dxa" w:w="1234"/>
          </w:tcPr>
          <w:p>
            <w:r>
              <w:rPr>
                <w:rFonts w:ascii="Calibri" w:hAnsi="Calibri"/>
                <w:sz w:val="22"/>
              </w:rPr>
              <w:t>Discretionary purchase 6 days after Q1 earnings miss; Clarke heads the R&amp;B segment that missed. Not a 10b5-1 plan. Particularly notable given her direct accountability for the miss.</w:t>
            </w:r>
          </w:p>
        </w:tc>
      </w:tr>
    </w:tbl>
    <w:p>
      <w:r>
        <w:rPr>
          <w:rFonts w:ascii="Calibri" w:hAnsi="Calibri"/>
          <w:i/>
          <w:color w:val="525866"/>
          <w:sz w:val="22"/>
        </w:rPr>
        <w:t>Source: SEC Form 4 Filings. Form 4 filed May 5–6, 2026 for transactions executed May 4–6, 2026. Transaction codes: P (Open Market Purchase). Neither transaction was under a 10b5-1 pre-planned trading program.</w:t>
      </w:r>
    </w:p>
    <w:p>
      <w:r>
        <w:rPr>
          <w:rFonts w:ascii="Calibri" w:hAnsi="Calibri"/>
          <w:color w:val="525866"/>
          <w:sz w:val="22"/>
        </w:rPr>
        <w:t>No insider sales were identified in the period from April 30 to July 29, 2026. The combination of CEO and segment-head purchases at post-earnings lows, with no subsequent sales as the stock recovered ~23%, is a notably clean insider signal heading into Q2 earnings.</w:t>
      </w:r>
    </w:p>
    <w:p>
      <w:r>
        <w:br w:type="page"/>
      </w:r>
    </w:p>
    <w:p>
      <w:pPr>
        <w:pStyle w:val="Heading2"/>
      </w:pPr>
      <w:r>
        <w:rPr>
          <w:rFonts w:ascii="Calibri" w:hAnsi="Calibri"/>
          <w:b/>
          <w:color w:val="3B4259"/>
          <w:sz w:val="28"/>
        </w:rPr>
        <w:t>8. Peer Commentary — Current-Quarter Read-Through (Q2 2026)</w:t>
      </w:r>
    </w:p>
    <w:p>
      <w:r>
        <w:rPr>
          <w:rFonts w:ascii="Calibri" w:hAnsi="Calibri"/>
          <w:b/>
          <w:color w:val="525866"/>
          <w:sz w:val="22"/>
        </w:rPr>
        <w:t xml:space="preserve">Key Takeaway: </w:t>
      </w:r>
      <w:r>
        <w:rPr>
          <w:rFonts w:ascii="Calibri" w:hAnsi="Calibri"/>
          <w:color w:val="525866"/>
          <w:sz w:val="22"/>
        </w:rPr>
        <w:t xml:space="preserve">Peer commentary from Q2 2026 (the current reporting quarter) is broadly constructive for WTW’s R&amp;B segment — AON and MMC both reported solid organic growth despite pricing headwinds, driven by strong new business and retention — but BRO’s organic miss and the accelerating property rate decline are cautionary signals. </w:t>
      </w:r>
      <w:r>
        <w:rPr>
          <w:rFonts w:ascii="Calibri" w:hAnsi="Calibri"/>
          <w:color w:val="525866"/>
          <w:sz w:val="22"/>
        </w:rPr>
        <w:t>The Middle East geopolitical headwind appears to have been manageable but not fully resolved for consulting-heavy businesses, which is the key read-through for WTW’s Career/HWC segment.</w:t>
      </w:r>
    </w:p>
    <w:p>
      <w:r>
        <w:rPr>
          <w:rFonts w:ascii="Calibri" w:hAnsi="Calibri"/>
          <w:b/>
          <w:i/>
          <w:color w:val="525866"/>
          <w:sz w:val="22"/>
        </w:rPr>
        <w:t xml:space="preserve">Methodology note: </w:t>
      </w:r>
      <w:r>
        <w:rPr>
          <w:rFonts w:ascii="Calibri" w:hAnsi="Calibri"/>
          <w:i/>
          <w:color w:val="525866"/>
          <w:sz w:val="22"/>
        </w:rPr>
        <w:t>Only commentary from within WTW’s Q2 2026 reporting period (April 1 – June 30, 2026) or Q2 2026 earnings calls (reporting on Q2 conditions) is included below. Retrospective commentary about Q1 2026 conditions from Q1 earnings calls has been excluded. All peers listed below reported or commented on Q2 2026 market conditions.</w:t>
      </w:r>
    </w:p>
    <w:p>
      <w:pPr>
        <w:pStyle w:val="Heading3"/>
      </w:pPr>
      <w:r>
        <w:rPr>
          <w:rFonts w:ascii="Calibri" w:hAnsi="Calibri"/>
          <w:b/>
          <w:color w:val="3B4259"/>
          <w:sz w:val="24"/>
        </w:rPr>
        <w:t>Peer 1: Aon plc (AON) — Q2 2026 Earnings Call (July 29, 2026)</w:t>
      </w:r>
    </w:p>
    <w:p>
      <w:r>
        <w:rPr>
          <w:rFonts w:ascii="Calibri" w:hAnsi="Calibri"/>
          <w:b/>
          <w:color w:val="525866"/>
          <w:sz w:val="22"/>
        </w:rPr>
        <w:t xml:space="preserve">Applicability to WTW: </w:t>
      </w:r>
      <w:r>
        <w:rPr>
          <w:rFonts w:ascii="Calibri" w:hAnsi="Calibri"/>
          <w:color w:val="525866"/>
          <w:sz w:val="22"/>
        </w:rPr>
        <w:t>High. AON is WTW’s closest large-cap peer in global commercial risk brokerage and reinsurance, with similar large-account client mix, geographic footprint, and segment structure. AON’s Q2 organic growth rate and commentary on pricing, new business, and margins are the most direct read-through available.</w:t>
      </w:r>
    </w:p>
    <w:p>
      <w:r>
        <w:rPr>
          <w:rFonts w:ascii="Calibri" w:hAnsi="Calibri"/>
          <w:b/>
          <w:color w:val="525866"/>
          <w:sz w:val="22"/>
        </w:rPr>
        <w:t xml:space="preserve">Limitations: </w:t>
      </w:r>
      <w:r>
        <w:rPr>
          <w:rFonts w:ascii="Calibri" w:hAnsi="Calibri"/>
          <w:color w:val="525866"/>
          <w:sz w:val="22"/>
        </w:rPr>
        <w:t>AON does not have a significant HR consulting/HWC equivalent segment, so read-through is primarily for R&amp;B. AON’s restructuring program (AAO) contributed ~60 bps to margin in Q2, a company-specific item not applicable to WTW.</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AON Q2 2026 Commentary</w:t>
            </w:r>
          </w:p>
        </w:tc>
        <w:tc>
          <w:tcPr>
            <w:tcW w:type="dxa" w:w="2880"/>
            <w:shd w:val="clear" w:color="auto" w:fill="3B4259"/>
          </w:tcPr>
          <w:p>
            <w:r>
              <w:rPr>
                <w:rFonts w:ascii="Calibri" w:hAnsi="Calibri"/>
                <w:b/>
                <w:color w:val="FFFFFF"/>
                <w:sz w:val="22"/>
              </w:rPr>
              <w:t>WTW Read-Through</w:t>
            </w:r>
          </w:p>
        </w:tc>
      </w:tr>
      <w:tr>
        <w:tc>
          <w:tcPr>
            <w:tcW w:type="dxa" w:w="2880"/>
          </w:tcPr>
          <w:p>
            <w:r>
              <w:rPr>
                <w:rFonts w:ascii="Calibri" w:hAnsi="Calibri"/>
                <w:sz w:val="22"/>
              </w:rPr>
              <w:t>Overall Organic Growth</w:t>
            </w:r>
          </w:p>
        </w:tc>
        <w:tc>
          <w:tcPr>
            <w:tcW w:type="dxa" w:w="2880"/>
          </w:tcPr>
          <w:p>
            <w:r>
              <w:rPr>
                <w:rFonts w:ascii="Calibri" w:hAnsi="Calibri"/>
                <w:sz w:val="22"/>
              </w:rPr>
              <w:t>5% organic revenue growth, “in line with our mid-single digit or better guidance”; mid-single digit or greater across all solution lines</w:t>
            </w:r>
          </w:p>
        </w:tc>
        <w:tc>
          <w:tcPr>
            <w:tcW w:type="dxa" w:w="2880"/>
          </w:tcPr>
          <w:p>
            <w:r>
              <w:rPr>
                <w:rFonts w:ascii="Calibri" w:hAnsi="Calibri"/>
                <w:sz w:val="22"/>
              </w:rPr>
              <w:t>Positive: Confirms mid-single-digit organic growth is achievable for large brokers in Q2 despite pricing headwinds. WTW’s ~3.7% consensus may prove conservative if R&amp;B recovery is real.</w:t>
            </w:r>
          </w:p>
        </w:tc>
      </w:tr>
      <w:tr>
        <w:tc>
          <w:tcPr>
            <w:tcW w:type="dxa" w:w="2880"/>
          </w:tcPr>
          <w:p>
            <w:r>
              <w:rPr>
                <w:rFonts w:ascii="Calibri" w:hAnsi="Calibri"/>
                <w:sz w:val="22"/>
              </w:rPr>
              <w:t>Commercial Risk</w:t>
            </w:r>
          </w:p>
        </w:tc>
        <w:tc>
          <w:tcPr>
            <w:tcW w:type="dxa" w:w="2880"/>
          </w:tcPr>
          <w:p>
            <w:r>
              <w:rPr>
                <w:rFonts w:ascii="Calibri" w:hAnsi="Calibri"/>
                <w:sz w:val="22"/>
              </w:rPr>
              <w:t>5% organic growth in Commercial Risk; “continued strength in core PNC business, new business generation and higher retention drove meaningful contribution from EMEA and North America”; Construction delivered 5th consecutive quarter of double-digit growth</w:t>
            </w:r>
          </w:p>
        </w:tc>
        <w:tc>
          <w:tcPr>
            <w:tcW w:type="dxa" w:w="2880"/>
          </w:tcPr>
          <w:p>
            <w:r>
              <w:rPr>
                <w:rFonts w:ascii="Calibri" w:hAnsi="Calibri"/>
                <w:sz w:val="22"/>
              </w:rPr>
              <w:t>Positive: Strong new business and retention in core PNC is directly applicable to WTW’s CRB. Construction/data center demand is a shared tailwind.</w:t>
            </w:r>
          </w:p>
        </w:tc>
      </w:tr>
      <w:tr>
        <w:tc>
          <w:tcPr>
            <w:tcW w:type="dxa" w:w="2880"/>
          </w:tcPr>
          <w:p>
            <w:r>
              <w:rPr>
                <w:rFonts w:ascii="Calibri" w:hAnsi="Calibri"/>
                <w:sz w:val="22"/>
              </w:rPr>
              <w:t>Pricing / Market Impact</w:t>
            </w:r>
          </w:p>
        </w:tc>
        <w:tc>
          <w:tcPr>
            <w:tcW w:type="dxa" w:w="2880"/>
          </w:tcPr>
          <w:p>
            <w:r>
              <w:rPr>
                <w:rFonts w:ascii="Calibri" w:hAnsi="Calibri"/>
                <w:sz w:val="22"/>
              </w:rPr>
              <w:t>“Net market impact modestly positive and within expected 0–2 point range despite softer pricing in PNC and reinsurance”; property down, casualty “still going up just lower”; cyber “flat to low single digit”; “structural risk trends argue against extended prolonged softness”</w:t>
            </w:r>
          </w:p>
        </w:tc>
        <w:tc>
          <w:tcPr>
            <w:tcW w:type="dxa" w:w="2880"/>
          </w:tcPr>
          <w:p>
            <w:r>
              <w:rPr>
                <w:rFonts w:ascii="Calibri" w:hAnsi="Calibri"/>
                <w:sz w:val="22"/>
              </w:rPr>
              <w:t>Neutral: Pricing headwinds are real but manageable; net market impact still positive. WTW’s R&amp;B revenue growth will depend on new business offsetting rate pressure, consistent with management’s framing.</w:t>
            </w:r>
          </w:p>
        </w:tc>
      </w:tr>
      <w:tr>
        <w:tc>
          <w:tcPr>
            <w:tcW w:type="dxa" w:w="2880"/>
          </w:tcPr>
          <w:p>
            <w:r>
              <w:rPr>
                <w:rFonts w:ascii="Calibri" w:hAnsi="Calibri"/>
                <w:sz w:val="22"/>
              </w:rPr>
              <w:t>New Business &amp; Retention</w:t>
            </w:r>
          </w:p>
        </w:tc>
        <w:tc>
          <w:tcPr>
            <w:tcW w:type="dxa" w:w="2880"/>
          </w:tcPr>
          <w:p>
            <w:r>
              <w:rPr>
                <w:rFonts w:ascii="Calibri" w:hAnsi="Calibri"/>
                <w:sz w:val="22"/>
              </w:rPr>
              <w:t>“New business contributed 10 points to organic revenue growth”; “consistently 9–11 points for nine consecutive quarters”; retention at “mid-90s level”; revenue-generating headcount up 3% YTD</w:t>
            </w:r>
          </w:p>
        </w:tc>
        <w:tc>
          <w:tcPr>
            <w:tcW w:type="dxa" w:w="2880"/>
          </w:tcPr>
          <w:p>
            <w:r>
              <w:rPr>
                <w:rFonts w:ascii="Calibri" w:hAnsi="Calibri"/>
                <w:sz w:val="22"/>
              </w:rPr>
              <w:t>Positive: Strong new business generation is the key offset to pricing headwinds. WTW’s Q1 miss was partly a new business timing issue — if new business normalized in Q2, this is the most important positive read-through.</w:t>
            </w:r>
          </w:p>
        </w:tc>
      </w:tr>
      <w:tr>
        <w:tc>
          <w:tcPr>
            <w:tcW w:type="dxa" w:w="2880"/>
          </w:tcPr>
          <w:p>
            <w:r>
              <w:rPr>
                <w:rFonts w:ascii="Calibri" w:hAnsi="Calibri"/>
                <w:sz w:val="22"/>
              </w:rPr>
              <w:t>Margins</w:t>
            </w:r>
          </w:p>
        </w:tc>
        <w:tc>
          <w:tcPr>
            <w:tcW w:type="dxa" w:w="2880"/>
          </w:tcPr>
          <w:p>
            <w:r>
              <w:rPr>
                <w:rFonts w:ascii="Calibri" w:hAnsi="Calibri"/>
                <w:sz w:val="22"/>
              </w:rPr>
              <w:t>Adj. operating margin expanded 70 bps to 28.9%; restructuring savings contributed ~60 bps; “continued operating leverage enabled by scalable ABS platform”</w:t>
            </w:r>
          </w:p>
        </w:tc>
        <w:tc>
          <w:tcPr>
            <w:tcW w:type="dxa" w:w="2880"/>
          </w:tcPr>
          <w:p>
            <w:r>
              <w:rPr>
                <w:rFonts w:ascii="Calibri" w:hAnsi="Calibri"/>
                <w:sz w:val="22"/>
              </w:rPr>
              <w:t>Positive: Large brokers can deliver margin expansion even with pricing headwinds. WTW’s ~100 bps R&amp;B margin expansion target over 2 years is consistent with AON’s demonstrated ability.</w:t>
            </w:r>
          </w:p>
        </w:tc>
      </w:tr>
      <w:tr>
        <w:tc>
          <w:tcPr>
            <w:tcW w:type="dxa" w:w="2880"/>
          </w:tcPr>
          <w:p>
            <w:r>
              <w:rPr>
                <w:rFonts w:ascii="Calibri" w:hAnsi="Calibri"/>
                <w:sz w:val="22"/>
              </w:rPr>
              <w:t>Large/Complex Accounts</w:t>
            </w:r>
          </w:p>
        </w:tc>
        <w:tc>
          <w:tcPr>
            <w:tcW w:type="dxa" w:w="2880"/>
          </w:tcPr>
          <w:p>
            <w:r>
              <w:rPr>
                <w:rFonts w:ascii="Calibri" w:hAnsi="Calibri"/>
                <w:sz w:val="22"/>
              </w:rPr>
              <w:t>“Enterprise large and middle market clients have complex needs… seeking insight, advice, and execution, not just transactions”; increasing demand from private equity and digital infrastructure clients</w:t>
            </w:r>
          </w:p>
        </w:tc>
        <w:tc>
          <w:tcPr>
            <w:tcW w:type="dxa" w:w="2880"/>
          </w:tcPr>
          <w:p>
            <w:r>
              <w:rPr>
                <w:rFonts w:ascii="Calibri" w:hAnsi="Calibri"/>
                <w:sz w:val="22"/>
              </w:rPr>
              <w:t>Positive: Demand for sophisticated advisory services in large/complex accounts is strong — directly applicable to WTW’s specialty strategy and CRB positioning.</w:t>
            </w:r>
          </w:p>
        </w:tc>
      </w:tr>
    </w:tbl>
    <w:p>
      <w:pPr>
        <w:pStyle w:val="Heading3"/>
      </w:pPr>
      <w:r>
        <w:rPr>
          <w:rFonts w:ascii="Calibri" w:hAnsi="Calibri"/>
          <w:b/>
          <w:color w:val="3B4259"/>
          <w:sz w:val="24"/>
        </w:rPr>
        <w:t>Peer 2: Marsh McLennan (MMC) — Q2 2026 Earnings Call (July 21, 2026)</w:t>
      </w:r>
    </w:p>
    <w:p>
      <w:r>
        <w:rPr>
          <w:rFonts w:ascii="Calibri" w:hAnsi="Calibri"/>
          <w:b/>
          <w:color w:val="525866"/>
          <w:sz w:val="22"/>
        </w:rPr>
        <w:t xml:space="preserve">Applicability to WTW: </w:t>
      </w:r>
      <w:r>
        <w:rPr>
          <w:rFonts w:ascii="Calibri" w:hAnsi="Calibri"/>
          <w:color w:val="525866"/>
          <w:sz w:val="22"/>
        </w:rPr>
        <w:t>High for R&amp;B (commercial risk brokerage and reinsurance via Guy Carpenter); Moderate for HWC (Mercer is MMC’s consulting arm, comparable to WTW’s Career/Wealth segments). MMC’s Marsh Global Insurance Market Index is the industry’s most widely cited pricing benchmark and directly relevant to WTW’s revenue outlook.</w:t>
      </w:r>
    </w:p>
    <w:p>
      <w:r>
        <w:rPr>
          <w:rFonts w:ascii="Calibri" w:hAnsi="Calibri"/>
          <w:b/>
          <w:color w:val="525866"/>
          <w:sz w:val="22"/>
        </w:rPr>
        <w:t xml:space="preserve">Limitations: </w:t>
      </w:r>
      <w:r>
        <w:rPr>
          <w:rFonts w:ascii="Calibri" w:hAnsi="Calibri"/>
          <w:color w:val="525866"/>
          <w:sz w:val="22"/>
        </w:rPr>
        <w:t>MMC’s consulting business (Mercer) has a different geographic mix and client focus than WTW’s Career segment. MMC’s reinsurance arm (Guy Carpenter) reported negative organic growth in Q2 due to property cat pricing — WTW’s reinsurance exposure is smaller but directionally similar.</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MMC Q2 2026 Commentary</w:t>
            </w:r>
          </w:p>
        </w:tc>
        <w:tc>
          <w:tcPr>
            <w:tcW w:type="dxa" w:w="2880"/>
            <w:shd w:val="clear" w:color="auto" w:fill="3B4259"/>
          </w:tcPr>
          <w:p>
            <w:r>
              <w:rPr>
                <w:rFonts w:ascii="Calibri" w:hAnsi="Calibri"/>
                <w:b/>
                <w:color w:val="FFFFFF"/>
                <w:sz w:val="22"/>
              </w:rPr>
              <w:t>WTW Read-Through</w:t>
            </w:r>
          </w:p>
        </w:tc>
      </w:tr>
      <w:tr>
        <w:tc>
          <w:tcPr>
            <w:tcW w:type="dxa" w:w="2880"/>
          </w:tcPr>
          <w:p>
            <w:r>
              <w:rPr>
                <w:rFonts w:ascii="Calibri" w:hAnsi="Calibri"/>
                <w:sz w:val="22"/>
              </w:rPr>
              <w:t>Overall Demand</w:t>
            </w:r>
          </w:p>
        </w:tc>
        <w:tc>
          <w:tcPr>
            <w:tcW w:type="dxa" w:w="2880"/>
          </w:tcPr>
          <w:p>
            <w:r>
              <w:rPr>
                <w:rFonts w:ascii="Calibri" w:hAnsi="Calibri"/>
                <w:sz w:val="22"/>
              </w:rPr>
              <w:t>“Solid second quarter as demand for our advice and capabilities remained strong”; underlying revenue growth accelerated to 5% from 4% in Q1; “despite continuing headwinds from fiduciary interest income and PNC pricing”</w:t>
            </w:r>
          </w:p>
        </w:tc>
        <w:tc>
          <w:tcPr>
            <w:tcW w:type="dxa" w:w="2880"/>
          </w:tcPr>
          <w:p>
            <w:r>
              <w:rPr>
                <w:rFonts w:ascii="Calibri" w:hAnsi="Calibri"/>
                <w:sz w:val="22"/>
              </w:rPr>
              <w:t>Positive: Demand for professional advisory services is strong despite pricing headwinds — supports WTW’s thesis that specialty expertise drives growth independent of the pricing cycle.</w:t>
            </w:r>
          </w:p>
        </w:tc>
      </w:tr>
      <w:tr>
        <w:tc>
          <w:tcPr>
            <w:tcW w:type="dxa" w:w="2880"/>
          </w:tcPr>
          <w:p>
            <w:r>
              <w:rPr>
                <w:rFonts w:ascii="Calibri" w:hAnsi="Calibri"/>
                <w:sz w:val="22"/>
              </w:rPr>
              <w:t>Commercial Insurance Pricing</w:t>
            </w:r>
          </w:p>
        </w:tc>
        <w:tc>
          <w:tcPr>
            <w:tcW w:type="dxa" w:w="2880"/>
          </w:tcPr>
          <w:p>
            <w:r>
              <w:rPr>
                <w:rFonts w:ascii="Calibri" w:hAnsi="Calibri"/>
                <w:sz w:val="22"/>
              </w:rPr>
              <w:t>Marsh Global Insurance Market Index: primary commercial rates -6% in Q2 (accelerating from -5% in Q1); property -12% globally; financial &amp; professional liability -3%; cyber -4%; casualty +2% (US excess casualty +15%); index “skews to large accounts”</w:t>
            </w:r>
          </w:p>
        </w:tc>
        <w:tc>
          <w:tcPr>
            <w:tcW w:type="dxa" w:w="2880"/>
          </w:tcPr>
          <w:p>
            <w:r>
              <w:rPr>
                <w:rFonts w:ascii="Calibri" w:hAnsi="Calibri"/>
                <w:sz w:val="22"/>
              </w:rPr>
              <w:t>Cautionary: Accelerating rate declines in property and specialty lines are a headwind for WTW’s large-account CRB commissions. The large-account skew of the index makes this directly applicable to WTW’s client mix.</w:t>
            </w:r>
          </w:p>
        </w:tc>
      </w:tr>
      <w:tr>
        <w:tc>
          <w:tcPr>
            <w:tcW w:type="dxa" w:w="2880"/>
          </w:tcPr>
          <w:p>
            <w:r>
              <w:rPr>
                <w:rFonts w:ascii="Calibri" w:hAnsi="Calibri"/>
                <w:sz w:val="22"/>
              </w:rPr>
              <w:t>Reinsurance</w:t>
            </w:r>
          </w:p>
        </w:tc>
        <w:tc>
          <w:tcPr>
            <w:tcW w:type="dxa" w:w="2880"/>
          </w:tcPr>
          <w:p>
            <w:r>
              <w:rPr>
                <w:rFonts w:ascii="Calibri" w:hAnsi="Calibri"/>
                <w:sz w:val="22"/>
              </w:rPr>
              <w:t>Guy Carpenter property cat rate online index -16% at midyear (“steepest year-over-year decline since index created 25 years ago”); Guy Carpenter negative organic growth in Q2; but “record new business in first half, strong double-digit new business growth”</w:t>
            </w:r>
          </w:p>
        </w:tc>
        <w:tc>
          <w:tcPr>
            <w:tcW w:type="dxa" w:w="2880"/>
          </w:tcPr>
          <w:p>
            <w:r>
              <w:rPr>
                <w:rFonts w:ascii="Calibri" w:hAnsi="Calibri"/>
                <w:sz w:val="22"/>
              </w:rPr>
              <w:t>Cautionary for reinsurance revenue, but positive for new business: WTW’s reinsurance operations face similar property cat pricing headwinds, but strong new business generation can offset rate pressure.</w:t>
            </w:r>
          </w:p>
        </w:tc>
      </w:tr>
      <w:tr>
        <w:tc>
          <w:tcPr>
            <w:tcW w:type="dxa" w:w="2880"/>
          </w:tcPr>
          <w:p>
            <w:r>
              <w:rPr>
                <w:rFonts w:ascii="Calibri" w:hAnsi="Calibri"/>
                <w:sz w:val="22"/>
              </w:rPr>
              <w:t>New Business &amp; Retention</w:t>
            </w:r>
          </w:p>
        </w:tc>
        <w:tc>
          <w:tcPr>
            <w:tcW w:type="dxa" w:w="2880"/>
          </w:tcPr>
          <w:p>
            <w:r>
              <w:rPr>
                <w:rFonts w:ascii="Calibri" w:hAnsi="Calibri"/>
                <w:sz w:val="22"/>
              </w:rPr>
              <w:t>“Very strong new business quarter in the US”; double-digit growth in marine, transactional risk, construction, aviation, energy and power; “very robust pipeline in digital infrastructure”; “while pricing is down, our clients see more risk, more uncertainty and more volatility”</w:t>
            </w:r>
          </w:p>
        </w:tc>
        <w:tc>
          <w:tcPr>
            <w:tcW w:type="dxa" w:w="2880"/>
          </w:tcPr>
          <w:p>
            <w:r>
              <w:rPr>
                <w:rFonts w:ascii="Calibri" w:hAnsi="Calibri"/>
                <w:sz w:val="22"/>
              </w:rPr>
              <w:t>Positive: Strong new business in specialty lines (construction, marine, digital infrastructure) is directly applicable to WTW’s CRB specialty strategy. Client demand for complex risk solutions is rising despite lower rates.</w:t>
            </w:r>
          </w:p>
        </w:tc>
      </w:tr>
      <w:tr>
        <w:tc>
          <w:tcPr>
            <w:tcW w:type="dxa" w:w="2880"/>
          </w:tcPr>
          <w:p>
            <w:r>
              <w:rPr>
                <w:rFonts w:ascii="Calibri" w:hAnsi="Calibri"/>
                <w:sz w:val="22"/>
              </w:rPr>
              <w:t>Middle East / Geopolitical Impact</w:t>
            </w:r>
          </w:p>
        </w:tc>
        <w:tc>
          <w:tcPr>
            <w:tcW w:type="dxa" w:w="2880"/>
          </w:tcPr>
          <w:p>
            <w:r>
              <w:rPr>
                <w:rFonts w:ascii="Calibri" w:hAnsi="Calibri"/>
                <w:sz w:val="22"/>
              </w:rPr>
              <w:t>“Sales slowed a bit in the second quarter” in the Middle East for consulting; “impact so far has been limited and that continued through the second quarter”; cautioned that “if current conditions persist for many months, that obviously could change over time”</w:t>
            </w:r>
          </w:p>
        </w:tc>
        <w:tc>
          <w:tcPr>
            <w:tcW w:type="dxa" w:w="2880"/>
          </w:tcPr>
          <w:p>
            <w:r>
              <w:rPr>
                <w:rFonts w:ascii="Calibri" w:hAnsi="Calibri"/>
                <w:sz w:val="22"/>
              </w:rPr>
              <w:t>Mixed: The Middle East headwind for consulting was present but “limited” in Q2 for MMC. WTW’s Career segment has greater Middle East exposure, so the impact could be more pronounced. This is the key uncertainty for WTW’s HWC segment.</w:t>
            </w:r>
          </w:p>
        </w:tc>
      </w:tr>
      <w:tr>
        <w:tc>
          <w:tcPr>
            <w:tcW w:type="dxa" w:w="2880"/>
          </w:tcPr>
          <w:p>
            <w:r>
              <w:rPr>
                <w:rFonts w:ascii="Calibri" w:hAnsi="Calibri"/>
                <w:sz w:val="22"/>
              </w:rPr>
              <w:t>Margins</w:t>
            </w:r>
          </w:p>
        </w:tc>
        <w:tc>
          <w:tcPr>
            <w:tcW w:type="dxa" w:w="2880"/>
          </w:tcPr>
          <w:p>
            <w:r>
              <w:rPr>
                <w:rFonts w:ascii="Calibri" w:hAnsi="Calibri"/>
                <w:sz w:val="22"/>
              </w:rPr>
              <w:t>Adj. operating margin 29.3% in Q2; “another year of margin expansion and solid adjusted EPS growth” anticipated; efficiency from “right-shoring, automation, and AI productivity gains”</w:t>
            </w:r>
          </w:p>
        </w:tc>
        <w:tc>
          <w:tcPr>
            <w:tcW w:type="dxa" w:w="2880"/>
          </w:tcPr>
          <w:p>
            <w:r>
              <w:rPr>
                <w:rFonts w:ascii="Calibri" w:hAnsi="Calibri"/>
                <w:sz w:val="22"/>
              </w:rPr>
              <w:t>Positive: Margin expansion through operational efficiency is achievable for large brokers in Q2 — supports WTW’s ~100 bps annual margin expansion target.</w:t>
            </w:r>
          </w:p>
        </w:tc>
      </w:tr>
    </w:tbl>
    <w:p>
      <w:pPr>
        <w:pStyle w:val="Heading3"/>
      </w:pPr>
      <w:r>
        <w:rPr>
          <w:rFonts w:ascii="Calibri" w:hAnsi="Calibri"/>
          <w:b/>
          <w:color w:val="3B4259"/>
          <w:sz w:val="24"/>
        </w:rPr>
        <w:t>Peer 3: Arthur J. Gallagher &amp; Co. (AJG) — Pre-Q2 Investor Meeting (June 17, 2026)</w:t>
      </w:r>
    </w:p>
    <w:p>
      <w:r>
        <w:rPr>
          <w:rFonts w:ascii="Calibri" w:hAnsi="Calibri"/>
          <w:b/>
          <w:color w:val="525866"/>
          <w:sz w:val="22"/>
        </w:rPr>
        <w:t xml:space="preserve">Applicability to WTW: </w:t>
      </w:r>
      <w:r>
        <w:rPr>
          <w:rFonts w:ascii="Calibri" w:hAnsi="Calibri"/>
          <w:color w:val="525866"/>
          <w:sz w:val="22"/>
        </w:rPr>
        <w:t>Moderate-to-High for R&amp;B. AJG is a major global insurance broker with significant commercial P&amp;C and specialty operations. The June 17 investor meeting provided granular mid-quarter pricing data for the first two months of Q2 2026, making it a valuable contemporaneous read-through for WTW’s Q2 conditions. AJG’s employee benefits commentary is also relevant to WTW’s Health segment.</w:t>
      </w:r>
    </w:p>
    <w:p>
      <w:r>
        <w:rPr>
          <w:rFonts w:ascii="Calibri" w:hAnsi="Calibri"/>
          <w:b/>
          <w:color w:val="525866"/>
          <w:sz w:val="22"/>
        </w:rPr>
        <w:t xml:space="preserve">Limitations: </w:t>
      </w:r>
      <w:r>
        <w:rPr>
          <w:rFonts w:ascii="Calibri" w:hAnsi="Calibri"/>
          <w:color w:val="525866"/>
          <w:sz w:val="22"/>
        </w:rPr>
        <w:t>AJG’s business mix skews more toward middle-market and smaller accounts than WTW’s large-account CRB focus. AJG’s reinsurance (Gallagher Re) is smaller relative to its total business. AJG does not have a significant HR consulting/Career equivalent.</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AJG June 17, 2026 Commentary (First 2 Months of Q2 2026)</w:t>
            </w:r>
          </w:p>
        </w:tc>
        <w:tc>
          <w:tcPr>
            <w:tcW w:type="dxa" w:w="2880"/>
            <w:shd w:val="clear" w:color="auto" w:fill="3B4259"/>
          </w:tcPr>
          <w:p>
            <w:r>
              <w:rPr>
                <w:rFonts w:ascii="Calibri" w:hAnsi="Calibri"/>
                <w:b/>
                <w:color w:val="FFFFFF"/>
                <w:sz w:val="22"/>
              </w:rPr>
              <w:t>WTW Read-Through</w:t>
            </w:r>
          </w:p>
        </w:tc>
      </w:tr>
      <w:tr>
        <w:tc>
          <w:tcPr>
            <w:tcW w:type="dxa" w:w="2880"/>
          </w:tcPr>
          <w:p>
            <w:r>
              <w:rPr>
                <w:rFonts w:ascii="Calibri" w:hAnsi="Calibri"/>
                <w:sz w:val="22"/>
              </w:rPr>
              <w:t>Pricing (Americas P&amp;C)</w:t>
            </w:r>
          </w:p>
        </w:tc>
        <w:tc>
          <w:tcPr>
            <w:tcW w:type="dxa" w:w="2880"/>
          </w:tcPr>
          <w:p>
            <w:r>
              <w:rPr>
                <w:rFonts w:ascii="Calibri" w:hAnsi="Calibri"/>
                <w:sz w:val="22"/>
              </w:rPr>
              <w:t>Renewal premium change down ~2% overall; property -11%, casualty +7% (GL +4%, auto +8%, umbrella +8%), D&amp;O +1%, cyber +5%; “excluding property, premium change up ~4%, consistent with Q1”</w:t>
            </w:r>
          </w:p>
        </w:tc>
        <w:tc>
          <w:tcPr>
            <w:tcW w:type="dxa" w:w="2880"/>
          </w:tcPr>
          <w:p>
            <w:r>
              <w:rPr>
                <w:rFonts w:ascii="Calibri" w:hAnsi="Calibri"/>
                <w:sz w:val="22"/>
              </w:rPr>
              <w:t>Cautionary for property, positive for casualty/specialty: Property rate declines are accelerating, but casualty and cyber remain positive. WTW’s CRB mix across these lines will determine net pricing impact.</w:t>
            </w:r>
          </w:p>
        </w:tc>
      </w:tr>
      <w:tr>
        <w:tc>
          <w:tcPr>
            <w:tcW w:type="dxa" w:w="2880"/>
          </w:tcPr>
          <w:p>
            <w:r>
              <w:rPr>
                <w:rFonts w:ascii="Calibri" w:hAnsi="Calibri"/>
                <w:sz w:val="22"/>
              </w:rPr>
              <w:t>Large Account Dynamics</w:t>
            </w:r>
          </w:p>
        </w:tc>
        <w:tc>
          <w:tcPr>
            <w:tcW w:type="dxa" w:w="2880"/>
          </w:tcPr>
          <w:p>
            <w:r>
              <w:rPr>
                <w:rFonts w:ascii="Calibri" w:hAnsi="Calibri"/>
                <w:sz w:val="22"/>
              </w:rPr>
              <w:t>“Large property risks driving most of the downward pressure overall across our renewal portfolio”; “meaningful differences by client size”; AJG considers itself “a great large account broker” and its fastest-growing segment</w:t>
            </w:r>
          </w:p>
        </w:tc>
        <w:tc>
          <w:tcPr>
            <w:tcW w:type="dxa" w:w="2880"/>
          </w:tcPr>
          <w:p>
            <w:r>
              <w:rPr>
                <w:rFonts w:ascii="Calibri" w:hAnsi="Calibri"/>
                <w:sz w:val="22"/>
              </w:rPr>
              <w:t>Cautionary: Large-account property rate pressure is the most acute headwind for WTW’s CRB, which is concentrated in large and complex accounts. This is consistent with WTW’s own Q1 commentary about “more competitive pricing in large and complex segment.”</w:t>
            </w:r>
          </w:p>
        </w:tc>
      </w:tr>
      <w:tr>
        <w:tc>
          <w:tcPr>
            <w:tcW w:type="dxa" w:w="2880"/>
          </w:tcPr>
          <w:p>
            <w:r>
              <w:rPr>
                <w:rFonts w:ascii="Calibri" w:hAnsi="Calibri"/>
                <w:sz w:val="22"/>
              </w:rPr>
              <w:t>Revenue vs. Premium Divergence</w:t>
            </w:r>
          </w:p>
        </w:tc>
        <w:tc>
          <w:tcPr>
            <w:tcW w:type="dxa" w:w="2880"/>
          </w:tcPr>
          <w:p>
            <w:r>
              <w:rPr>
                <w:rFonts w:ascii="Calibri" w:hAnsi="Calibri"/>
                <w:sz w:val="22"/>
              </w:rPr>
              <w:t>“Further divergence between renewal premiums and revenues”; revenue impact of property rate declines “more muted” due to “strong retention, exposure growth, and effective placement/program structuring”; many large accounts are fee-based</w:t>
            </w:r>
          </w:p>
        </w:tc>
        <w:tc>
          <w:tcPr>
            <w:tcW w:type="dxa" w:w="2880"/>
          </w:tcPr>
          <w:p>
            <w:r>
              <w:rPr>
                <w:rFonts w:ascii="Calibri" w:hAnsi="Calibri"/>
                <w:sz w:val="22"/>
              </w:rPr>
              <w:t>Positive: Revenue is more resilient than headline rate changes suggest, due to fees, exposure growth, and retention. WTW’s large-account fee-based relationships provide similar insulation.</w:t>
            </w:r>
          </w:p>
        </w:tc>
      </w:tr>
      <w:tr>
        <w:tc>
          <w:tcPr>
            <w:tcW w:type="dxa" w:w="2880"/>
          </w:tcPr>
          <w:p>
            <w:r>
              <w:rPr>
                <w:rFonts w:ascii="Calibri" w:hAnsi="Calibri"/>
                <w:sz w:val="22"/>
              </w:rPr>
              <w:t>Q2 Organic Growth Outlook</w:t>
            </w:r>
          </w:p>
        </w:tc>
        <w:tc>
          <w:tcPr>
            <w:tcW w:type="dxa" w:w="2880"/>
          </w:tcPr>
          <w:p>
            <w:r>
              <w:rPr>
                <w:rFonts w:ascii="Calibri" w:hAnsi="Calibri"/>
                <w:sz w:val="22"/>
              </w:rPr>
              <w:t>AJG expected Q2 brokerage organic growth of ~5%; “underlying market conditions that support our business remain intact”; economic indicators (audits, endorsements, cancellations) “still in positive territory” through mid-June</w:t>
            </w:r>
          </w:p>
        </w:tc>
        <w:tc>
          <w:tcPr>
            <w:tcW w:type="dxa" w:w="2880"/>
          </w:tcPr>
          <w:p>
            <w:r>
              <w:rPr>
                <w:rFonts w:ascii="Calibri" w:hAnsi="Calibri"/>
                <w:sz w:val="22"/>
              </w:rPr>
              <w:t>Positive: Mid-single-digit organic growth is achievable for large brokers in Q2. WTW’s ~3.7% consensus may be conservative if underlying economic activity remains positive.</w:t>
            </w:r>
          </w:p>
        </w:tc>
      </w:tr>
      <w:tr>
        <w:tc>
          <w:tcPr>
            <w:tcW w:type="dxa" w:w="2880"/>
          </w:tcPr>
          <w:p>
            <w:r>
              <w:rPr>
                <w:rFonts w:ascii="Calibri" w:hAnsi="Calibri"/>
                <w:sz w:val="22"/>
              </w:rPr>
              <w:t>Employee Benefits / Health</w:t>
            </w:r>
          </w:p>
        </w:tc>
        <w:tc>
          <w:tcPr>
            <w:tcW w:type="dxa" w:w="2880"/>
          </w:tcPr>
          <w:p>
            <w:r>
              <w:rPr>
                <w:rFonts w:ascii="Calibri" w:hAnsi="Calibri"/>
                <w:sz w:val="22"/>
              </w:rPr>
              <w:t>US health &amp; benefits: “favorable net new business spread”; Q2 organic growth ~3%, FY2026 ~4%; “medical cost trends rising throughout 2025, expect pressure to continue in 2026”; fully insured renewals at large carriers showing high-single-digit to ~10% premium increases; stop-loss premiums up mid-teens to &gt;20%</w:t>
            </w:r>
          </w:p>
        </w:tc>
        <w:tc>
          <w:tcPr>
            <w:tcW w:type="dxa" w:w="2880"/>
          </w:tcPr>
          <w:p>
            <w:r>
              <w:rPr>
                <w:rFonts w:ascii="Calibri" w:hAnsi="Calibri"/>
                <w:sz w:val="22"/>
              </w:rPr>
              <w:t>Positive for WTW’s Health segment: Rising medical costs and premium increases drive demand for WTW’s health benefits advisory and specialty solutions. Consistent with WTW’s high-single-digit Health growth guidance.</w:t>
            </w:r>
          </w:p>
        </w:tc>
      </w:tr>
      <w:tr>
        <w:tc>
          <w:tcPr>
            <w:tcW w:type="dxa" w:w="2880"/>
          </w:tcPr>
          <w:p>
            <w:r>
              <w:rPr>
                <w:rFonts w:ascii="Calibri" w:hAnsi="Calibri"/>
                <w:sz w:val="22"/>
              </w:rPr>
              <w:t>Reinsurance</w:t>
            </w:r>
          </w:p>
        </w:tc>
        <w:tc>
          <w:tcPr>
            <w:tcW w:type="dxa" w:w="2880"/>
          </w:tcPr>
          <w:p>
            <w:r>
              <w:rPr>
                <w:rFonts w:ascii="Calibri" w:hAnsi="Calibri"/>
                <w:sz w:val="22"/>
              </w:rPr>
              <w:t>“Capacity remains ample overall”; “market conditions varying line by line”; AJG “remains bullish on reinsurance growth outlook for rest of 2026”; 7/1 renewals backdrop “consistent with previous observations”</w:t>
            </w:r>
          </w:p>
        </w:tc>
        <w:tc>
          <w:tcPr>
            <w:tcW w:type="dxa" w:w="2880"/>
          </w:tcPr>
          <w:p>
            <w:r>
              <w:rPr>
                <w:rFonts w:ascii="Calibri" w:hAnsi="Calibri"/>
                <w:sz w:val="22"/>
              </w:rPr>
              <w:t>Neutral: Ample reinsurance capacity is a headwind for pricing but supports client demand for structured solutions. WTW’s reinsurance operations face similar dynamics.</w:t>
            </w:r>
          </w:p>
        </w:tc>
      </w:tr>
    </w:tbl>
    <w:p>
      <w:pPr>
        <w:pStyle w:val="Heading3"/>
      </w:pPr>
      <w:r>
        <w:rPr>
          <w:rFonts w:ascii="Calibri" w:hAnsi="Calibri"/>
          <w:b/>
          <w:color w:val="3B4259"/>
          <w:sz w:val="24"/>
        </w:rPr>
        <w:t>Peer 4: Brown &amp; Brown (BRO) — Q2 2026 Earnings Call (July 28, 2026)</w:t>
      </w:r>
    </w:p>
    <w:p>
      <w:r>
        <w:rPr>
          <w:rFonts w:ascii="Calibri" w:hAnsi="Calibri"/>
          <w:b/>
          <w:color w:val="525866"/>
          <w:sz w:val="22"/>
        </w:rPr>
        <w:t xml:space="preserve">Applicability to WTW: </w:t>
      </w:r>
      <w:r>
        <w:rPr>
          <w:rFonts w:ascii="Calibri" w:hAnsi="Calibri"/>
          <w:color w:val="525866"/>
          <w:sz w:val="22"/>
        </w:rPr>
        <w:t>Moderate. BRO is a major US insurance broker with retail and specialty distribution operations. Its commentary on commercial insurance pricing, economic conditions, and new business activity is relevant to WTW’s CRB segment, particularly for middle-market and specialty lines.</w:t>
      </w:r>
    </w:p>
    <w:p>
      <w:r>
        <w:rPr>
          <w:rFonts w:ascii="Calibri" w:hAnsi="Calibri"/>
          <w:b/>
          <w:color w:val="525866"/>
          <w:sz w:val="22"/>
        </w:rPr>
        <w:t xml:space="preserve">Limitations: </w:t>
      </w:r>
      <w:r>
        <w:rPr>
          <w:rFonts w:ascii="Calibri" w:hAnsi="Calibri"/>
          <w:color w:val="525866"/>
          <w:sz w:val="22"/>
        </w:rPr>
        <w:t>BRO is more middle-market focused than WTW’s large-account CRB. BRO’s organic revenue miss (-0.7% vs. +0.5% consensus) was partly driven by a company-specific delayed new business item (~200 bps impact in Specialty Distribution) and the AssuredPartners acquisition integration, making direct comparison to WTW’s organic growth less straightforward. BRO has no HWC equivalent.</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BRO Q2 2026 Commentary</w:t>
            </w:r>
          </w:p>
        </w:tc>
        <w:tc>
          <w:tcPr>
            <w:tcW w:type="dxa" w:w="2880"/>
            <w:shd w:val="clear" w:color="auto" w:fill="3B4259"/>
          </w:tcPr>
          <w:p>
            <w:r>
              <w:rPr>
                <w:rFonts w:ascii="Calibri" w:hAnsi="Calibri"/>
                <w:b/>
                <w:color w:val="FFFFFF"/>
                <w:sz w:val="22"/>
              </w:rPr>
              <w:t>WTW Read-Through</w:t>
            </w:r>
          </w:p>
        </w:tc>
      </w:tr>
      <w:tr>
        <w:tc>
          <w:tcPr>
            <w:tcW w:type="dxa" w:w="2880"/>
          </w:tcPr>
          <w:p>
            <w:r>
              <w:rPr>
                <w:rFonts w:ascii="Calibri" w:hAnsi="Calibri"/>
                <w:sz w:val="22"/>
              </w:rPr>
              <w:t>Overall Organic Growth</w:t>
            </w:r>
          </w:p>
        </w:tc>
        <w:tc>
          <w:tcPr>
            <w:tcW w:type="dxa" w:w="2880"/>
          </w:tcPr>
          <w:p>
            <w:r>
              <w:rPr>
                <w:rFonts w:ascii="Calibri" w:hAnsi="Calibri"/>
                <w:sz w:val="22"/>
              </w:rPr>
              <w:t>Organic revenue -0.7% (vs. +0.5% consensus); EPS $1.07 (in line); “performance came in modestly ahead of our expectations”; Specialty Distribution impacted by ~200 bps from delayed new business revenue for one program</w:t>
            </w:r>
          </w:p>
        </w:tc>
        <w:tc>
          <w:tcPr>
            <w:tcW w:type="dxa" w:w="2880"/>
          </w:tcPr>
          <w:p>
            <w:r>
              <w:rPr>
                <w:rFonts w:ascii="Calibri" w:hAnsi="Calibri"/>
                <w:sz w:val="22"/>
              </w:rPr>
              <w:t>Cautionary: BRO’s organic miss is a reminder that new business timing can create volatility. However, BRO’s miss was partly company-specific (delayed program revenue), limiting direct read-through to WTW.</w:t>
            </w:r>
          </w:p>
        </w:tc>
      </w:tr>
      <w:tr>
        <w:tc>
          <w:tcPr>
            <w:tcW w:type="dxa" w:w="2880"/>
          </w:tcPr>
          <w:p>
            <w:r>
              <w:rPr>
                <w:rFonts w:ascii="Calibri" w:hAnsi="Calibri"/>
                <w:sz w:val="22"/>
              </w:rPr>
              <w:t>Commercial Insurance Pricing</w:t>
            </w:r>
          </w:p>
        </w:tc>
        <w:tc>
          <w:tcPr>
            <w:tcW w:type="dxa" w:w="2880"/>
          </w:tcPr>
          <w:p>
            <w:r>
              <w:rPr>
                <w:rFonts w:ascii="Calibri" w:hAnsi="Calibri"/>
                <w:sz w:val="22"/>
              </w:rPr>
              <w:t>Rate changes “broadly consistent with Q1, with some additional moderation”; property cat -15 to -35%; primary casualty and professional liability +5%; excess casualty more pressure; worker’s comp flat to -5%; “insurance market remains competitive for many lines”</w:t>
            </w:r>
          </w:p>
        </w:tc>
        <w:tc>
          <w:tcPr>
            <w:tcW w:type="dxa" w:w="2880"/>
          </w:tcPr>
          <w:p>
            <w:r>
              <w:rPr>
                <w:rFonts w:ascii="Calibri" w:hAnsi="Calibri"/>
                <w:sz w:val="22"/>
              </w:rPr>
              <w:t>Cautionary for property, positive for casualty: Consistent with AJG and MMC data. Property cat rate declines are the most acute headwind; casualty remains positive. WTW’s CRB mix will determine net impact.</w:t>
            </w:r>
          </w:p>
        </w:tc>
      </w:tr>
      <w:tr>
        <w:tc>
          <w:tcPr>
            <w:tcW w:type="dxa" w:w="2880"/>
          </w:tcPr>
          <w:p>
            <w:r>
              <w:rPr>
                <w:rFonts w:ascii="Calibri" w:hAnsi="Calibri"/>
                <w:sz w:val="22"/>
              </w:rPr>
              <w:t>Economic Conditions</w:t>
            </w:r>
          </w:p>
        </w:tc>
        <w:tc>
          <w:tcPr>
            <w:tcW w:type="dxa" w:w="2880"/>
          </w:tcPr>
          <w:p>
            <w:r>
              <w:rPr>
                <w:rFonts w:ascii="Calibri" w:hAnsi="Calibri"/>
                <w:sz w:val="22"/>
              </w:rPr>
              <w:t>“Conditions during Q2 remained relatively consistent with previous quarters”; “customer spending patterns stable overall”; “relatively stable labor environment”; “positive audit premium activity suggests many businesses continue to grow”; primary concerns: inflation, oil prices, geopolitical matters</w:t>
            </w:r>
          </w:p>
        </w:tc>
        <w:tc>
          <w:tcPr>
            <w:tcW w:type="dxa" w:w="2880"/>
          </w:tcPr>
          <w:p>
            <w:r>
              <w:rPr>
                <w:rFonts w:ascii="Calibri" w:hAnsi="Calibri"/>
                <w:sz w:val="22"/>
              </w:rPr>
              <w:t>Neutral: Stable economic backdrop supports underlying exposure growth for WTW’s commercial clients, but cautious sentiment limits discretionary spending — relevant to WTW’s Career advisory business.</w:t>
            </w:r>
          </w:p>
        </w:tc>
      </w:tr>
      <w:tr>
        <w:tc>
          <w:tcPr>
            <w:tcW w:type="dxa" w:w="2880"/>
          </w:tcPr>
          <w:p>
            <w:r>
              <w:rPr>
                <w:rFonts w:ascii="Calibri" w:hAnsi="Calibri"/>
                <w:sz w:val="22"/>
              </w:rPr>
              <w:t>Contingent Commissions</w:t>
            </w:r>
          </w:p>
        </w:tc>
        <w:tc>
          <w:tcPr>
            <w:tcW w:type="dxa" w:w="2880"/>
          </w:tcPr>
          <w:p>
            <w:r>
              <w:rPr>
                <w:rFonts w:ascii="Calibri" w:hAnsi="Calibri"/>
                <w:sz w:val="22"/>
              </w:rPr>
              <w:t>Contingent commissions grew by $40M (“impressive”); driven by “minimal storm claim activity and higher underwriting profitability”; “retail had a good quarter for contingents”</w:t>
            </w:r>
          </w:p>
        </w:tc>
        <w:tc>
          <w:tcPr>
            <w:tcW w:type="dxa" w:w="2880"/>
          </w:tcPr>
          <w:p>
            <w:r>
              <w:rPr>
                <w:rFonts w:ascii="Calibri" w:hAnsi="Calibri"/>
                <w:sz w:val="22"/>
              </w:rPr>
              <w:t>Positive: Low catastrophe activity in Q2 supports contingent commission income for brokers with carrier profit-sharing arrangements. WTW may benefit from similar dynamics in its carrier relationships.</w:t>
            </w:r>
          </w:p>
        </w:tc>
      </w:tr>
      <w:tr>
        <w:tc>
          <w:tcPr>
            <w:tcW w:type="dxa" w:w="2880"/>
          </w:tcPr>
          <w:p>
            <w:r>
              <w:rPr>
                <w:rFonts w:ascii="Calibri" w:hAnsi="Calibri"/>
                <w:sz w:val="22"/>
              </w:rPr>
              <w:t>H2 2026 Outlook</w:t>
            </w:r>
          </w:p>
        </w:tc>
        <w:tc>
          <w:tcPr>
            <w:tcW w:type="dxa" w:w="2880"/>
          </w:tcPr>
          <w:p>
            <w:r>
              <w:rPr>
                <w:rFonts w:ascii="Calibri" w:hAnsi="Calibri"/>
                <w:sz w:val="22"/>
              </w:rPr>
              <w:t>Retail organic growth (ex-contingents) expected 1.5–2.5% in H2; Specialty Distribution 2–4%; “pricing to moderate slightly”; excess casualty to continue increasing; cat property to decrease at rates similar to H1</w:t>
            </w:r>
          </w:p>
        </w:tc>
        <w:tc>
          <w:tcPr>
            <w:tcW w:type="dxa" w:w="2880"/>
          </w:tcPr>
          <w:p>
            <w:r>
              <w:rPr>
                <w:rFonts w:ascii="Calibri" w:hAnsi="Calibri"/>
                <w:sz w:val="22"/>
              </w:rPr>
              <w:t>Neutral: BRO’s H2 outlook implies modest improvement in organic growth, consistent with WTW’s expectation that R&amp;B recovers to mid-single digits for the full year.</w:t>
            </w:r>
          </w:p>
        </w:tc>
      </w:tr>
      <w:tr>
        <w:tc>
          <w:tcPr>
            <w:tcW w:type="dxa" w:w="2880"/>
          </w:tcPr>
          <w:p>
            <w:r>
              <w:rPr>
                <w:rFonts w:ascii="Calibri" w:hAnsi="Calibri"/>
                <w:sz w:val="22"/>
              </w:rPr>
              <w:t>AI &amp; Technology</w:t>
            </w:r>
          </w:p>
        </w:tc>
        <w:tc>
          <w:tcPr>
            <w:tcW w:type="dxa" w:w="2880"/>
          </w:tcPr>
          <w:p>
            <w:r>
              <w:rPr>
                <w:rFonts w:ascii="Calibri" w:hAnsi="Calibri"/>
                <w:sz w:val="22"/>
              </w:rPr>
              <w:t>New partnerships with McKinsey, Accenture, and Anthropic; “AI will enable our teammates”; “incremental organic growth and margin expansion will occur over coming quarters and years as AI becomes more embedded”; not calling out incremental technology spend</w:t>
            </w:r>
          </w:p>
        </w:tc>
        <w:tc>
          <w:tcPr>
            <w:tcW w:type="dxa" w:w="2880"/>
          </w:tcPr>
          <w:p>
            <w:r>
              <w:rPr>
                <w:rFonts w:ascii="Calibri" w:hAnsi="Calibri"/>
                <w:sz w:val="22"/>
              </w:rPr>
              <w:t>Positive for WTW’s AI narrative: Industry-wide AI adoption is accelerating. WTW’s Neuron OS and Newfront integration position it as a leader in AI-enabled brokerage, which could be a differentiation story in Q2 commentary.</w:t>
            </w:r>
          </w:p>
        </w:tc>
      </w:tr>
    </w:tbl>
    <w:p>
      <w:pPr>
        <w:pStyle w:val="Heading3"/>
      </w:pPr>
      <w:r>
        <w:rPr>
          <w:rFonts w:ascii="Calibri" w:hAnsi="Calibri"/>
          <w:b/>
          <w:color w:val="3B4259"/>
          <w:sz w:val="24"/>
        </w:rPr>
        <w:t>Peer Read-Through Summary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Peer</w:t>
            </w:r>
          </w:p>
        </w:tc>
        <w:tc>
          <w:tcPr>
            <w:tcW w:type="dxa" w:w="1728"/>
            <w:shd w:val="clear" w:color="auto" w:fill="3B4259"/>
          </w:tcPr>
          <w:p>
            <w:r>
              <w:rPr>
                <w:rFonts w:ascii="Calibri" w:hAnsi="Calibri"/>
                <w:b/>
                <w:color w:val="FFFFFF"/>
                <w:sz w:val="22"/>
              </w:rPr>
              <w:t>Date</w:t>
            </w:r>
          </w:p>
        </w:tc>
        <w:tc>
          <w:tcPr>
            <w:tcW w:type="dxa" w:w="1728"/>
            <w:shd w:val="clear" w:color="auto" w:fill="3B4259"/>
          </w:tcPr>
          <w:p>
            <w:r>
              <w:rPr>
                <w:rFonts w:ascii="Calibri" w:hAnsi="Calibri"/>
                <w:b/>
                <w:color w:val="FFFFFF"/>
                <w:sz w:val="22"/>
              </w:rPr>
              <w:t>Q2 Organic Growth</w:t>
            </w:r>
          </w:p>
        </w:tc>
        <w:tc>
          <w:tcPr>
            <w:tcW w:type="dxa" w:w="1728"/>
            <w:shd w:val="clear" w:color="auto" w:fill="3B4259"/>
          </w:tcPr>
          <w:p>
            <w:r>
              <w:rPr>
                <w:rFonts w:ascii="Calibri" w:hAnsi="Calibri"/>
                <w:b/>
                <w:color w:val="FFFFFF"/>
                <w:sz w:val="22"/>
              </w:rPr>
              <w:t>Key Signal for WTW</w:t>
            </w:r>
          </w:p>
        </w:tc>
        <w:tc>
          <w:tcPr>
            <w:tcW w:type="dxa" w:w="1728"/>
            <w:shd w:val="clear" w:color="auto" w:fill="3B4259"/>
          </w:tcPr>
          <w:p>
            <w:r>
              <w:rPr>
                <w:rFonts w:ascii="Calibri" w:hAnsi="Calibri"/>
                <w:b/>
                <w:color w:val="FFFFFF"/>
                <w:sz w:val="22"/>
              </w:rPr>
              <w:t>Net Read-Through</w:t>
            </w:r>
          </w:p>
        </w:tc>
      </w:tr>
      <w:tr>
        <w:tc>
          <w:tcPr>
            <w:tcW w:type="dxa" w:w="1728"/>
          </w:tcPr>
          <w:p>
            <w:r>
              <w:rPr>
                <w:rFonts w:ascii="Calibri" w:hAnsi="Calibri"/>
                <w:sz w:val="22"/>
              </w:rPr>
              <w:t>AON</w:t>
            </w:r>
          </w:p>
        </w:tc>
        <w:tc>
          <w:tcPr>
            <w:tcW w:type="dxa" w:w="1728"/>
          </w:tcPr>
          <w:p>
            <w:r>
              <w:rPr>
                <w:rFonts w:ascii="Calibri" w:hAnsi="Calibri"/>
                <w:sz w:val="22"/>
              </w:rPr>
              <w:t>Jul 29, 2026</w:t>
            </w:r>
          </w:p>
        </w:tc>
        <w:tc>
          <w:tcPr>
            <w:tcW w:type="dxa" w:w="1728"/>
          </w:tcPr>
          <w:p>
            <w:r>
              <w:rPr>
                <w:rFonts w:ascii="Calibri" w:hAnsi="Calibri"/>
                <w:sz w:val="22"/>
              </w:rPr>
              <w:t>+5% (beat +4.8% est.)</w:t>
            </w:r>
          </w:p>
        </w:tc>
        <w:tc>
          <w:tcPr>
            <w:tcW w:type="dxa" w:w="1728"/>
          </w:tcPr>
          <w:p>
            <w:r>
              <w:rPr>
                <w:rFonts w:ascii="Calibri" w:hAnsi="Calibri"/>
                <w:sz w:val="22"/>
              </w:rPr>
              <w:t>Mid-single-digit organic achievable; new business strong; pricing headwinds manageable</w:t>
            </w:r>
          </w:p>
        </w:tc>
        <w:tc>
          <w:tcPr>
            <w:tcW w:type="dxa" w:w="1728"/>
          </w:tcPr>
          <w:p>
            <w:r>
              <w:rPr>
                <w:rFonts w:ascii="Calibri" w:hAnsi="Calibri"/>
                <w:b/>
                <w:color w:val="30A46C"/>
                <w:sz w:val="22"/>
              </w:rPr>
              <w:t>Positive</w:t>
            </w:r>
          </w:p>
        </w:tc>
      </w:tr>
      <w:tr>
        <w:tc>
          <w:tcPr>
            <w:tcW w:type="dxa" w:w="1728"/>
          </w:tcPr>
          <w:p>
            <w:r>
              <w:rPr>
                <w:rFonts w:ascii="Calibri" w:hAnsi="Calibri"/>
                <w:sz w:val="22"/>
              </w:rPr>
              <w:t>MMC</w:t>
            </w:r>
          </w:p>
        </w:tc>
        <w:tc>
          <w:tcPr>
            <w:tcW w:type="dxa" w:w="1728"/>
          </w:tcPr>
          <w:p>
            <w:r>
              <w:rPr>
                <w:rFonts w:ascii="Calibri" w:hAnsi="Calibri"/>
                <w:sz w:val="22"/>
              </w:rPr>
              <w:t>Jul 21, 2026</w:t>
            </w:r>
          </w:p>
        </w:tc>
        <w:tc>
          <w:tcPr>
            <w:tcW w:type="dxa" w:w="1728"/>
          </w:tcPr>
          <w:p>
            <w:r>
              <w:rPr>
                <w:rFonts w:ascii="Calibri" w:hAnsi="Calibri"/>
                <w:sz w:val="22"/>
              </w:rPr>
              <w:t>+5% underlying</w:t>
            </w:r>
          </w:p>
        </w:tc>
        <w:tc>
          <w:tcPr>
            <w:tcW w:type="dxa" w:w="1728"/>
          </w:tcPr>
          <w:p>
            <w:r>
              <w:rPr>
                <w:rFonts w:ascii="Calibri" w:hAnsi="Calibri"/>
                <w:sz w:val="22"/>
              </w:rPr>
              <w:t>Property rates -12% (accelerating); Middle East consulting headwind “limited”; strong new business in specialty</w:t>
            </w:r>
          </w:p>
        </w:tc>
        <w:tc>
          <w:tcPr>
            <w:tcW w:type="dxa" w:w="1728"/>
          </w:tcPr>
          <w:p>
            <w:r>
              <w:rPr>
                <w:rFonts w:ascii="Calibri" w:hAnsi="Calibri"/>
                <w:b/>
                <w:color w:val="002FA7"/>
                <w:sz w:val="22"/>
              </w:rPr>
              <w:t>Mixed</w:t>
            </w:r>
          </w:p>
        </w:tc>
      </w:tr>
      <w:tr>
        <w:tc>
          <w:tcPr>
            <w:tcW w:type="dxa" w:w="1728"/>
          </w:tcPr>
          <w:p>
            <w:r>
              <w:rPr>
                <w:rFonts w:ascii="Calibri" w:hAnsi="Calibri"/>
                <w:sz w:val="22"/>
              </w:rPr>
              <w:t>AJG</w:t>
            </w:r>
          </w:p>
        </w:tc>
        <w:tc>
          <w:tcPr>
            <w:tcW w:type="dxa" w:w="1728"/>
          </w:tcPr>
          <w:p>
            <w:r>
              <w:rPr>
                <w:rFonts w:ascii="Calibri" w:hAnsi="Calibri"/>
                <w:sz w:val="22"/>
              </w:rPr>
              <w:t>Jun 17, 2026 (mid-Q2)</w:t>
            </w:r>
          </w:p>
        </w:tc>
        <w:tc>
          <w:tcPr>
            <w:tcW w:type="dxa" w:w="1728"/>
          </w:tcPr>
          <w:p>
            <w:r>
              <w:rPr>
                <w:rFonts w:ascii="Calibri" w:hAnsi="Calibri"/>
                <w:sz w:val="22"/>
              </w:rPr>
              <w:t>~5% expected for Q2</w:t>
            </w:r>
          </w:p>
        </w:tc>
        <w:tc>
          <w:tcPr>
            <w:tcW w:type="dxa" w:w="1728"/>
          </w:tcPr>
          <w:p>
            <w:r>
              <w:rPr>
                <w:rFonts w:ascii="Calibri" w:hAnsi="Calibri"/>
                <w:sz w:val="22"/>
              </w:rPr>
              <w:t>Property -11% in Americas; casualty +7%; revenue more resilient than premium due to fees/exposure; health benefits demand strong</w:t>
            </w:r>
          </w:p>
        </w:tc>
        <w:tc>
          <w:tcPr>
            <w:tcW w:type="dxa" w:w="1728"/>
          </w:tcPr>
          <w:p>
            <w:r>
              <w:rPr>
                <w:rFonts w:ascii="Calibri" w:hAnsi="Calibri"/>
                <w:b/>
                <w:color w:val="30A46C"/>
                <w:sz w:val="22"/>
              </w:rPr>
              <w:t>Positive</w:t>
            </w:r>
          </w:p>
        </w:tc>
      </w:tr>
      <w:tr>
        <w:tc>
          <w:tcPr>
            <w:tcW w:type="dxa" w:w="1728"/>
          </w:tcPr>
          <w:p>
            <w:r>
              <w:rPr>
                <w:rFonts w:ascii="Calibri" w:hAnsi="Calibri"/>
                <w:sz w:val="22"/>
              </w:rPr>
              <w:t>BRO</w:t>
            </w:r>
          </w:p>
        </w:tc>
        <w:tc>
          <w:tcPr>
            <w:tcW w:type="dxa" w:w="1728"/>
          </w:tcPr>
          <w:p>
            <w:r>
              <w:rPr>
                <w:rFonts w:ascii="Calibri" w:hAnsi="Calibri"/>
                <w:sz w:val="22"/>
              </w:rPr>
              <w:t>Jul 28, 2026</w:t>
            </w:r>
          </w:p>
        </w:tc>
        <w:tc>
          <w:tcPr>
            <w:tcW w:type="dxa" w:w="1728"/>
          </w:tcPr>
          <w:p>
            <w:r>
              <w:rPr>
                <w:rFonts w:ascii="Calibri" w:hAnsi="Calibri"/>
                <w:sz w:val="22"/>
              </w:rPr>
              <w:t>-0.7% (missed +0.5% est.)</w:t>
            </w:r>
          </w:p>
        </w:tc>
        <w:tc>
          <w:tcPr>
            <w:tcW w:type="dxa" w:w="1728"/>
          </w:tcPr>
          <w:p>
            <w:r>
              <w:rPr>
                <w:rFonts w:ascii="Calibri" w:hAnsi="Calibri"/>
                <w:sz w:val="22"/>
              </w:rPr>
              <w:t>Organic miss partly company-specific; pricing broadly consistent with Q1; stable economic backdrop</w:t>
            </w:r>
          </w:p>
        </w:tc>
        <w:tc>
          <w:tcPr>
            <w:tcW w:type="dxa" w:w="1728"/>
          </w:tcPr>
          <w:p>
            <w:r>
              <w:rPr>
                <w:rFonts w:ascii="Calibri" w:hAnsi="Calibri"/>
                <w:b/>
                <w:color w:val="E5484D"/>
                <w:sz w:val="22"/>
              </w:rPr>
              <w:t>Cautionary</w:t>
            </w:r>
          </w:p>
        </w:tc>
      </w:tr>
    </w:tbl>
    <w:p>
      <w:r>
        <w:rPr>
          <w:rFonts w:ascii="Calibri" w:hAnsi="Calibri"/>
          <w:b/>
          <w:color w:val="525866"/>
          <w:sz w:val="22"/>
        </w:rPr>
        <w:t xml:space="preserve">Bottom line: </w:t>
      </w:r>
      <w:r>
        <w:rPr>
          <w:rFonts w:ascii="Calibri" w:hAnsi="Calibri"/>
          <w:color w:val="525866"/>
          <w:sz w:val="22"/>
        </w:rPr>
        <w:t>The weight of peer evidence is constructive for WTW’s R&amp;B segment — AON and MMC both delivered mid-single-digit organic growth in Q2 despite pricing headwinds, driven by strong new business and retention. The key uncertainty specific to WTW is the Middle East/Career headwind in HWC, where MMC’s commentary suggests the impact was “limited” but present in Q2. BRO’s organic miss is a reminder that new business timing can create volatility, but BRO’s company-specific factors limit the direct read-through to WTW.</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