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9" w:name="wy-earnings-predictions--2026-07-30"/>
    <w:p>
      <w:pPr>
        <w:pStyle w:val="Heading1"/>
      </w:pPr>
      <w:r>
        <w:t xml:space="preserve">WY Earnings Predictions — 2026-07-30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320"/>
        <w:gridCol w:w="1320"/>
        <w:gridCol w:w="1320"/>
        <w:gridCol w:w="1320"/>
        <w:gridCol w:w="1320"/>
        <w:gridCol w:w="132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Ticker</w:t>
            </w:r>
          </w:p>
        </w:tc>
        <w:tc>
          <w:tcPr/>
          <w:p>
            <w:pPr>
              <w:pStyle w:val="Compact"/>
            </w:pPr>
            <w:r>
              <w:t xml:space="preserve">Report or Guide</w:t>
            </w:r>
          </w:p>
        </w:tc>
        <w:tc>
          <w:tcPr/>
          <w:p>
            <w:pPr>
              <w:pStyle w:val="Compact"/>
            </w:pPr>
            <w:r>
              <w:t xml:space="preserve">KPI</w:t>
            </w:r>
          </w:p>
        </w:tc>
        <w:tc>
          <w:tcPr/>
          <w:p>
            <w:pPr>
              <w:pStyle w:val="Compact"/>
            </w:pPr>
            <w:r>
              <w:t xml:space="preserve">Prediction</w:t>
            </w:r>
          </w:p>
        </w:tc>
        <w:tc>
          <w:tcPr/>
          <w:p>
            <w:pPr>
              <w:pStyle w:val="Compact"/>
            </w:pPr>
            <w:r>
              <w:t xml:space="preserve">Answer</w:t>
            </w:r>
          </w:p>
        </w:tc>
        <w:tc>
          <w:tcPr/>
          <w:p>
            <w:pPr>
              <w:pStyle w:val="Compact"/>
            </w:pPr>
            <w:r>
              <w:t xml:space="preserve">Confidence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Total Adj. EBITDA (Q2'26)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</w:t>
            </w:r>
            <m:oMath>
              <m:r>
                <m:t>285</m:t>
              </m:r>
              <m:r>
                <m:t>M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272M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Wood Products Adj. EBITDA (lumber flow-through)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</w:t>
            </w:r>
            <m:oMath>
              <m:r>
                <m:t>110</m:t>
              </m:r>
              <m:r>
                <m:t>M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92M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Report</w:t>
            </w:r>
          </w:p>
        </w:tc>
        <w:tc>
          <w:tcPr/>
          <w:p>
            <w:pPr>
              <w:pStyle w:val="Compact"/>
            </w:pPr>
            <w:r>
              <w:t xml:space="preserve">Adjusted EPS (Q2'26)</w:t>
            </w:r>
          </w:p>
        </w:tc>
        <w:tc>
          <w:tcPr/>
          <w:p>
            <w:pPr>
              <w:pStyle w:val="Compact"/>
            </w:pPr>
            <w:r>
              <w:t xml:space="preserve">BEAT</w:t>
            </w:r>
          </w:p>
        </w:tc>
        <w:tc>
          <w:tcPr/>
          <w:p>
            <w:pPr>
              <w:pStyle w:val="Compact"/>
            </w:pPr>
            <w:r>
              <w:t xml:space="preserve">pred ~</w:t>
            </w:r>
            <m:oMath>
              <m:r>
                <m:t>0.11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0.09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Q3'26 Total Adj. EBITDA outlook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~</w:t>
            </w:r>
            <m:oMath>
              <m:r>
                <m:t>240</m:t>
              </m:r>
              <m:r>
                <m:t>M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260M (Q3'26)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SLS full-year EBITDA target</w:t>
            </w:r>
          </w:p>
        </w:tc>
        <w:tc>
          <w:tcPr/>
          <w:p>
            <w:pPr>
              <w:pStyle w:val="Compact"/>
            </w:pPr>
            <w:r>
              <w:t xml:space="preserve">UNCHANGED</w:t>
            </w:r>
          </w:p>
        </w:tc>
        <w:tc>
          <w:tcPr/>
          <w:p>
            <w:pPr>
              <w:pStyle w:val="Compact"/>
            </w:pPr>
            <w:r>
              <w:t xml:space="preserve">guide ~</w:t>
            </w:r>
            <m:oMath>
              <m:r>
                <m:t>425</m:t>
              </m:r>
              <m:r>
                <m:t>M</m:t>
              </m:r>
              <m:r>
                <m:t>v</m:t>
              </m:r>
              <m:r>
                <m:t>s</m:t>
              </m:r>
              <m:r>
                <m:rPr>
                  <m:sty m:val="p"/>
                </m:rPr>
                <m:t>.</m:t>
              </m:r>
              <m:r>
                <m:t>c</m:t>
              </m:r>
              <m:r>
                <m:t>o</m:t>
              </m:r>
              <m:r>
                <m:t>n</m:t>
              </m:r>
              <m:r>
                <m:t>s</m:t>
              </m:r>
              <m:r>
                <m:t> </m:t>
              </m:r>
            </m:oMath>
            <w:r>
              <w:t xml:space="preserve">425M (FY26)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Guide</w:t>
            </w:r>
          </w:p>
        </w:tc>
        <w:tc>
          <w:tcPr/>
          <w:p>
            <w:pPr>
              <w:pStyle w:val="Compact"/>
            </w:pPr>
            <w:r>
              <w:t xml:space="preserve">Wood Products realizations trajectory (lumber/OSB)</w:t>
            </w:r>
          </w:p>
        </w:tc>
        <w:tc>
          <w:tcPr/>
          <w:p>
            <w:pPr>
              <w:pStyle w:val="Compact"/>
            </w:pPr>
            <w:r>
              <w:t xml:space="preserve">LOWER</w:t>
            </w:r>
          </w:p>
        </w:tc>
        <w:tc>
          <w:tcPr/>
          <w:p>
            <w:pPr>
              <w:pStyle w:val="Compact"/>
            </w:pPr>
            <w:r>
              <w:t xml:space="preserve">guide realizations ~-3% off Q2 peak vs. cons ~flat (Q3'26)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Day-1 residual (stock − beta × S&amp;P 500)</w:t>
            </w:r>
          </w:p>
        </w:tc>
        <w:tc>
          <w:tcPr/>
          <w:p>
            <w:pPr>
              <w:pStyle w:val="Compact"/>
            </w:pPr>
            <w:r>
              <w:t xml:space="preserve">+1.5%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MEDIUM</w:t>
            </w:r>
          </w:p>
        </w:tc>
      </w:tr>
      <w:tr>
        <w:tc>
          <w:tcPr/>
          <w:p>
            <w:pPr>
              <w:pStyle w:val="Compact"/>
            </w:pPr>
            <w:r>
              <w:t xml:space="preserve">WY</w:t>
            </w:r>
          </w:p>
        </w:tc>
        <w:tc>
          <w:tcPr/>
          <w:p>
            <w:pPr>
              <w:pStyle w:val="Compact"/>
            </w:pPr>
            <w:r>
              <w:t xml:space="preserve">Return</w:t>
            </w:r>
          </w:p>
        </w:tc>
        <w:tc>
          <w:tcPr/>
          <w:p>
            <w:pPr>
              <w:pStyle w:val="Compact"/>
            </w:pPr>
            <w:r>
              <w:t xml:space="preserve">5-day cumulative residual</w:t>
            </w:r>
          </w:p>
        </w:tc>
        <w:tc>
          <w:tcPr/>
          <w:p>
            <w:pPr>
              <w:pStyle w:val="Compact"/>
            </w:pPr>
            <w:r>
              <w:t xml:space="preserve">+0.3% (FADE)</w:t>
            </w:r>
          </w:p>
        </w:tc>
        <w:tc>
          <w:tcPr/>
          <w:p>
            <w:pPr>
              <w:pStyle w:val="Compact"/>
            </w:pPr>
            <w:r>
              <w:t xml:space="preserve">The likely beat is driven by transient spring lumber-realization flow-through into Wood Products, not durable demand — housing remains 'stuck in second gear' and single-family/EWP is soft. The out-period math is unfavorable: SLS is front-half-loaded so H2 steps down sharply (no conservation-easement repeat), and CME lumber/framing composites already rolled over in July (~8% below year-ago), so a weaker Q3 guide plus resin/freight cost inflation prompt analysts to trim H2/FY estimates even after the headline beat. Rangebound stock (~$22.5–25.8) with elevated ~5x leverage limits follow-through; initial pop fades toward flat as estimates drift down.</w:t>
            </w:r>
          </w:p>
        </w:tc>
        <w:tc>
          <w:tcPr/>
          <w:p>
            <w:pPr>
              <w:pStyle w:val="Compact"/>
            </w:pPr>
            <w:r>
              <w:t xml:space="preserve">LOW</w:t>
            </w:r>
          </w:p>
        </w:tc>
      </w:tr>
    </w:tbl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2026-07-29T20:04:48Z</dcterms:created>
  <dcterms:modified xsi:type="dcterms:W3CDTF">2026-07-29T20:04:48Z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