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FirstParagraph"/>
      </w:pPr>
      <w:r>
        <w:t xml:space="preserve">I'll research Weyerhaeuser (WY) before writing the preview. Let me gather recent earnings materials, guidance, and news.I'll read the most recent earnings materials (2026Q1 call and release) and the prior year Q2 for comparison, plus check for recent news.Let me get the prior-year Q2 (2025Q2) release for year-over-year context, recent stock price action, and any recent news.Let me check current lumber/housing conditions and the softwood lumber duty situation via web search.# Weyerhaeuser (WY) — Q2 2026 Earnings Preview</w:t>
      </w:r>
      <w:r>
        <w:t xml:space="preserve"> </w:t>
      </w:r>
      <w:r>
        <w:rPr>
          <w:b/>
          <w:bCs/>
        </w:rPr>
        <w:t xml:space="preserve">Report date:</w:t>
      </w:r>
      <w:r>
        <w:t xml:space="preserve"> </w:t>
      </w:r>
      <w:r>
        <w:t xml:space="preserve">Thursday, July 30, 2026 (2026Q2 Earnings Call) ·</w:t>
      </w:r>
      <w:r>
        <w:t xml:space="preserve"> </w:t>
      </w:r>
      <w:r>
        <w:rPr>
          <w:b/>
          <w:bCs/>
        </w:rPr>
        <w:t xml:space="preserve">Recent price:</w:t>
      </w:r>
      <w:r>
        <w:t xml:space="preserve"> </w:t>
      </w:r>
      <w:r>
        <w:t xml:space="preserve">~$24.46 (7/29/26) · REIT, NYSE: WY</w:t>
      </w:r>
    </w:p>
    <w:p>
      <w:r>
        <w:pict>
          <v:rect style="width:0;height:1.5pt" o:hralign="center" o:hrstd="t" o:hr="t"/>
        </w:pict>
      </w:r>
    </w:p>
    <w:bookmarkStart w:id="9" w:name="the-one-line-setup"/>
    <w:p>
      <w:pPr>
        <w:pStyle w:val="Heading2"/>
      </w:pPr>
      <w:r>
        <w:t xml:space="preserve">The one-line setup</w:t>
      </w:r>
    </w:p>
    <w:p>
      <w:pPr>
        <w:pStyle w:val="FirstParagraph"/>
      </w:pPr>
      <w:r>
        <w:t xml:space="preserve">WY heads into Q2 with</w:t>
      </w:r>
      <w:r>
        <w:t xml:space="preserve"> </w:t>
      </w:r>
      <w:r>
        <w:rPr>
          <w:b/>
          <w:bCs/>
        </w:rPr>
        <w:t xml:space="preserve">lumber pricing as the swing factor to the upside</w:t>
      </w:r>
      <w:r>
        <w:t xml:space="preserve"> </w:t>
      </w:r>
      <w:r>
        <w:t xml:space="preserve">and a</w:t>
      </w:r>
      <w:r>
        <w:t xml:space="preserve"> </w:t>
      </w:r>
      <w:r>
        <w:rPr>
          <w:b/>
          <w:bCs/>
        </w:rPr>
        <w:t xml:space="preserve">still-sluggish housing/R&amp;R backdrop plus fresh cost inflation</w:t>
      </w:r>
      <w:r>
        <w:t xml:space="preserve"> </w:t>
      </w:r>
      <w:r>
        <w:t xml:space="preserve">capping enthusiasm. Management's own Q1 guidance frames Q2 as roughly flat sequentially at the segment level</w:t>
      </w:r>
      <w:r>
        <w:t xml:space="preserve"> </w:t>
      </w:r>
      <w:r>
        <w:rPr>
          <w:i/>
          <w:iCs/>
        </w:rPr>
        <w:t xml:space="preserve">except</w:t>
      </w:r>
      <w:r>
        <w:t xml:space="preserve"> </w:t>
      </w:r>
      <w:r>
        <w:t xml:space="preserve">for the pass-through of higher lumber realizations — so the print will hinge on how much of the spring lumber run-up flowed through, and on the tone around housing, duties, and the balance sheet.</w:t>
      </w:r>
    </w:p>
    <w:p>
      <w:pPr>
        <w:pStyle w:val="BodyText"/>
      </w:pPr>
      <w:r>
        <w:t xml:space="preserve">The stock has essentially chopped sideways since the Q1 report (a ~</w:t>
      </w:r>
      <m:oMath>
        <m:r>
          <m:t>22.5</m:t>
        </m:r>
        <m:r>
          <m:rPr>
            <m:sty m:val="p"/>
          </m:rPr>
          <m:t>–</m:t>
        </m:r>
      </m:oMath>
      <w:r>
        <w:t xml:space="preserve">25.8 range over the last quarter), so expectations look muted and the reaction will likely be driven by guidance and pricing commentary rather than the headline.</w:t>
      </w:r>
    </w:p>
    <w:p>
      <w:r>
        <w:pict>
          <v:rect style="width:0;height:1.5pt" o:hralign="center" o:hrstd="t" o:hr="t"/>
        </w:pict>
      </w:r>
    </w:p>
    <w:bookmarkEnd w:id="9"/>
    <w:bookmarkStart w:id="10" w:name="X37e4eb004b648bc399ac28567632d87819456f9"/>
    <w:p>
      <w:pPr>
        <w:pStyle w:val="Heading2"/>
      </w:pPr>
      <w:r>
        <w:t xml:space="preserve">What management guided for Q2 (from the May 1 Q1 call)</w:t>
      </w:r>
    </w:p>
    <w:p>
      <w:pPr>
        <w:pStyle w:val="FirstParagraph"/>
      </w:pPr>
      <w:r>
        <w:t xml:space="preserve">Use these as the scorecard. Q1 2026 actuals shown in parentheses.</w:t>
      </w:r>
    </w:p>
    <w:tbl>
      <w:tblPr>
        <w:tblStyle w:val="Table"/>
        <w:tblW w:type="auto" w:w="0"/>
        <w:tblLook w:firstRow="1" w:lastRow="0" w:firstColumn="0" w:lastColumn="0" w:noHBand="0" w:noVBand="0" w:val="0020"/>
      </w:tblPr>
      <w:tblGrid>
        <w:gridCol w:w="2640"/>
        <w:gridCol w:w="2640"/>
        <w:gridCol w:w="2640"/>
      </w:tblGrid>
      <w:tr>
        <w:trPr>
          <w:tblHeader w:val="on"/>
        </w:trPr>
        <w:tc>
          <w:tcPr/>
          <w:p>
            <w:pPr>
              <w:pStyle w:val="Compact"/>
            </w:pPr>
            <w:r>
              <w:t xml:space="preserve">Segment</w:t>
            </w:r>
          </w:p>
        </w:tc>
        <w:tc>
          <w:tcPr/>
          <w:p>
            <w:pPr>
              <w:pStyle w:val="Compact"/>
            </w:pPr>
            <w:r>
              <w:t xml:space="preserve">Q2 guide vs. Q1</w:t>
            </w:r>
          </w:p>
        </w:tc>
        <w:tc>
          <w:tcPr/>
          <w:p>
            <w:pPr>
              <w:pStyle w:val="Compact"/>
            </w:pPr>
            <w:r>
              <w:t xml:space="preserve">Q1 2026 Adj. EBITDA</w:t>
            </w:r>
          </w:p>
        </w:tc>
      </w:tr>
      <w:tr>
        <w:tc>
          <w:tcPr/>
          <w:p>
            <w:pPr>
              <w:pStyle w:val="Compact"/>
            </w:pPr>
            <w:r>
              <w:rPr>
                <w:b/>
                <w:bCs/>
              </w:rPr>
              <w:t xml:space="preserve">Timberlands</w:t>
            </w:r>
          </w:p>
        </w:tc>
        <w:tc>
          <w:tcPr/>
          <w:p>
            <w:pPr>
              <w:pStyle w:val="Compact"/>
            </w:pPr>
            <w:r>
              <w:t xml:space="preserve">Comparable to Q1</w:t>
            </w:r>
          </w:p>
        </w:tc>
        <w:tc>
          <w:tcPr/>
          <w:p>
            <w:pPr>
              <w:pStyle w:val="Compact"/>
            </w:pPr>
            <w:r>
              <w:t xml:space="preserve">$120M</w:t>
            </w:r>
          </w:p>
        </w:tc>
      </w:tr>
      <w:tr>
        <w:tc>
          <w:tcPr/>
          <w:p>
            <w:pPr>
              <w:pStyle w:val="Compact"/>
            </w:pPr>
            <w:r>
              <w:rPr>
                <w:b/>
                <w:bCs/>
              </w:rPr>
              <w:t xml:space="preserve">Strategic Land Solutions (SLS)</w:t>
            </w:r>
          </w:p>
        </w:tc>
        <w:tc>
          <w:tcPr/>
          <w:p>
            <w:pPr>
              <w:pStyle w:val="Compact"/>
            </w:pPr>
            <w:r>
              <w:t xml:space="preserve">~</w:t>
            </w:r>
            <m:oMath>
              <m:r>
                <m:t>70</m:t>
              </m:r>
              <m:r>
                <m:t>M</m:t>
              </m:r>
              <m:r>
                <m:rPr>
                  <m:sty m:val="p"/>
                </m:rPr>
                <m:t>*</m:t>
              </m:r>
              <m:r>
                <m:rPr>
                  <m:sty m:val="p"/>
                </m:rPr>
                <m:t>*</m:t>
              </m:r>
              <m:r>
                <m:t>l</m:t>
              </m:r>
              <m:r>
                <m:t>o</m:t>
              </m:r>
              <m:r>
                <m:t>w</m:t>
              </m:r>
              <m:r>
                <m:t>e</m:t>
              </m:r>
              <m:r>
                <m:t>r</m:t>
              </m:r>
              <m:r>
                <m:rPr>
                  <m:sty m:val="p"/>
                </m:rPr>
                <m:t>*</m:t>
              </m:r>
              <m:r>
                <m:rPr>
                  <m:sty m:val="p"/>
                </m:rPr>
                <m:t>*</m:t>
              </m:r>
              <m:r>
                <m:t>E</m:t>
              </m:r>
              <m:r>
                <m:t>B</m:t>
              </m:r>
              <m:r>
                <m:t>I</m:t>
              </m:r>
              <m:r>
                <m:t>T</m:t>
              </m:r>
              <m:r>
                <m:t>D</m:t>
              </m:r>
              <m:r>
                <m:t>A</m:t>
              </m:r>
              <m:r>
                <m:rPr>
                  <m:sty m:val="p"/>
                </m:rPr>
                <m:t>/</m:t>
              </m:r>
              <m:r>
                <m:t> </m:t>
              </m:r>
            </m:oMath>
            <w:r>
              <w:t xml:space="preserve">80M lower earnings (no repeat of Q1 conservation easement), partly offset by stronger real estate</w:t>
            </w:r>
          </w:p>
        </w:tc>
        <w:tc>
          <w:tcPr/>
          <w:p>
            <w:pPr>
              <w:pStyle w:val="Compact"/>
            </w:pPr>
            <w:r>
              <w:t xml:space="preserve">$193M</w:t>
            </w:r>
          </w:p>
        </w:tc>
      </w:tr>
      <w:tr>
        <w:tc>
          <w:tcPr/>
          <w:p>
            <w:pPr>
              <w:pStyle w:val="Compact"/>
            </w:pPr>
            <w:r>
              <w:rPr>
                <w:b/>
                <w:bCs/>
              </w:rPr>
              <w:t xml:space="preserve">Wood Products</w:t>
            </w:r>
          </w:p>
        </w:tc>
        <w:tc>
          <w:tcPr/>
          <w:p>
            <w:pPr>
              <w:pStyle w:val="Compact"/>
            </w:pPr>
            <w:r>
              <w:t xml:space="preserve">Comparable to Q1</w:t>
            </w:r>
            <w:r>
              <w:t xml:space="preserve"> </w:t>
            </w:r>
            <w:r>
              <w:rPr>
                <w:i/>
                <w:iCs/>
              </w:rPr>
              <w:t xml:space="preserve">excluding</w:t>
            </w:r>
            <w:r>
              <w:t xml:space="preserve"> </w:t>
            </w:r>
            <w:r>
              <w:t xml:space="preserve">changes in lumber/OSB realizations → realizations are the upside</w:t>
            </w:r>
          </w:p>
        </w:tc>
        <w:tc>
          <w:tcPr/>
          <w:p>
            <w:pPr>
              <w:pStyle w:val="Compact"/>
            </w:pPr>
            <w:r>
              <w:t xml:space="preserve">$71M</w:t>
            </w:r>
          </w:p>
        </w:tc>
      </w:tr>
      <w:tr>
        <w:tc>
          <w:tcPr/>
          <w:p>
            <w:pPr>
              <w:pStyle w:val="Compact"/>
            </w:pPr>
            <w:r>
              <w:rPr>
                <w:b/>
                <w:bCs/>
              </w:rPr>
              <w:t xml:space="preserve">Total company</w:t>
            </w:r>
          </w:p>
        </w:tc>
        <w:tc>
          <w:tcPr/>
          <w:p>
            <w:pPr>
              <w:pStyle w:val="Compact"/>
            </w:pPr>
            <w:r>
              <w:t xml:space="preserve">—</w:t>
            </w:r>
          </w:p>
        </w:tc>
        <w:tc>
          <w:tcPr/>
          <w:p>
            <w:pPr>
              <w:pStyle w:val="Compact"/>
            </w:pPr>
            <w:r>
              <w:rPr>
                <w:b/>
                <w:bCs/>
              </w:rPr>
              <w:t xml:space="preserve">$308M</w:t>
            </w:r>
          </w:p>
        </w:tc>
      </w:tr>
    </w:tbl>
    <w:p>
      <w:pPr>
        <w:pStyle w:val="BodyText"/>
      </w:pPr>
      <w:r>
        <w:rPr>
          <w:b/>
          <w:bCs/>
        </w:rPr>
        <w:t xml:space="preserve">Read-through:</w:t>
      </w:r>
      <w:r>
        <w:t xml:space="preserve"> </w:t>
      </w:r>
      <w:r>
        <w:t xml:space="preserve">Netting the guide, base-case total EBITDA lands somewhere in the **~</w:t>
      </w:r>
      <m:oMath>
        <m:r>
          <m:t>240</m:t>
        </m:r>
        <m:r>
          <m:rPr>
            <m:sty m:val="p"/>
          </m:rPr>
          <m:t>–</m:t>
        </m:r>
        <m:r>
          <m:t>260</m:t>
        </m:r>
        <m:r>
          <m:t>M</m:t>
        </m:r>
        <m:r>
          <m:t>z</m:t>
        </m:r>
        <m:r>
          <m:t>o</m:t>
        </m:r>
        <m:r>
          <m:t>n</m:t>
        </m:r>
        <m:r>
          <m:t>e</m:t>
        </m:r>
        <m:r>
          <m:t>b</m:t>
        </m:r>
        <m:r>
          <m:t>e</m:t>
        </m:r>
        <m:r>
          <m:t>f</m:t>
        </m:r>
        <m:r>
          <m:t>o</m:t>
        </m:r>
        <m:r>
          <m:t>r</m:t>
        </m:r>
        <m:r>
          <m:t>e</m:t>
        </m:r>
        <m:r>
          <m:t>a</m:t>
        </m:r>
        <m:r>
          <m:t>n</m:t>
        </m:r>
        <m:r>
          <m:t>y</m:t>
        </m:r>
        <m:r>
          <m:t>l</m:t>
        </m:r>
        <m:r>
          <m:t>u</m:t>
        </m:r>
        <m:r>
          <m:t>m</m:t>
        </m:r>
        <m:r>
          <m:t>b</m:t>
        </m:r>
        <m:r>
          <m:t>e</m:t>
        </m:r>
        <m:r>
          <m:t>r</m:t>
        </m:r>
        <m:r>
          <m:rPr>
            <m:sty m:val="p"/>
          </m:rPr>
          <m:t>−</m:t>
        </m:r>
        <m:r>
          <m:t>p</m:t>
        </m:r>
        <m:r>
          <m:t>r</m:t>
        </m:r>
        <m:r>
          <m:t>i</m:t>
        </m:r>
        <m:r>
          <m:t>c</m:t>
        </m:r>
        <m:r>
          <m:t>i</m:t>
        </m:r>
        <m:r>
          <m:t>n</m:t>
        </m:r>
        <m:r>
          <m:t>g</m:t>
        </m:r>
        <m:r>
          <m:t>u</m:t>
        </m:r>
        <m:r>
          <m:t>p</m:t>
        </m:r>
        <m:r>
          <m:t>l</m:t>
        </m:r>
        <m:r>
          <m:t>i</m:t>
        </m:r>
        <m:r>
          <m:t>f</m:t>
        </m:r>
        <m:r>
          <m:t>t</m:t>
        </m:r>
        <m:r>
          <m:rPr>
            <m:sty m:val="p"/>
          </m:rPr>
          <m:t>*</m:t>
        </m:r>
        <m:r>
          <m:rPr>
            <m:sty m:val="p"/>
          </m:rPr>
          <m:t>*</m:t>
        </m:r>
        <m:r>
          <m:rPr>
            <m:sty m:val="p"/>
          </m:rPr>
          <m:t>(</m:t>
        </m:r>
        <m:r>
          <m:t>T</m:t>
        </m:r>
        <m:r>
          <m:t>i</m:t>
        </m:r>
        <m:r>
          <m:t>m</m:t>
        </m:r>
        <m:r>
          <m:t>b</m:t>
        </m:r>
        <m:r>
          <m:t>e</m:t>
        </m:r>
        <m:r>
          <m:t>r</m:t>
        </m:r>
        <m:r>
          <m:t>l</m:t>
        </m:r>
        <m:r>
          <m:t>a</m:t>
        </m:r>
        <m:r>
          <m:t>n</m:t>
        </m:r>
        <m:r>
          <m:t>d</m:t>
        </m:r>
        <m:r>
          <m:t>s</m:t>
        </m:r>
        <m:r>
          <m:t> </m:t>
        </m:r>
      </m:oMath>
      <w:r>
        <w:t xml:space="preserve">120M + SLS ~</w:t>
      </w:r>
      <m:oMath>
        <m:r>
          <m:t>120</m:t>
        </m:r>
        <m:r>
          <m:t>M</m:t>
        </m:r>
        <m:r>
          <m:rPr>
            <m:sty m:val="p"/>
          </m:rPr>
          <m:t>+</m:t>
        </m:r>
        <m:r>
          <m:t>W</m:t>
        </m:r>
        <m:r>
          <m:t>o</m:t>
        </m:r>
        <m:r>
          <m:t>o</m:t>
        </m:r>
        <m:r>
          <m:t>d</m:t>
        </m:r>
        <m:r>
          <m:t>P</m:t>
        </m:r>
        <m:r>
          <m:t>r</m:t>
        </m:r>
        <m:r>
          <m:t>o</m:t>
        </m:r>
        <m:r>
          <m:t>d</m:t>
        </m:r>
        <m:r>
          <m:t>u</m:t>
        </m:r>
        <m:r>
          <m:t>c</m:t>
        </m:r>
        <m:r>
          <m:t>t</m:t>
        </m:r>
        <m:r>
          <m:t>s</m:t>
        </m:r>
        <m:r>
          <m:t> </m:t>
        </m:r>
      </m:oMath>
      <w:r>
        <w:t xml:space="preserve">71M + unallocated ~‑$75M). The lumber realization delta is the wild card that could push it meaningfully higher.</w:t>
      </w:r>
    </w:p>
    <w:p>
      <w:pPr>
        <w:pStyle w:val="BodyText"/>
      </w:pPr>
      <w:r>
        <w:t xml:space="preserve">Key moving parts to watch:</w:t>
      </w:r>
    </w:p>
    <w:p>
      <w:pPr>
        <w:pStyle w:val="Compact"/>
        <w:numPr>
          <w:ilvl w:val="0"/>
          <w:numId w:val="1001"/>
        </w:numPr>
      </w:pPr>
      <w:r>
        <w:rPr>
          <w:b/>
          <w:bCs/>
        </w:rPr>
        <w:t xml:space="preserve">SLS full-year guide of ~$425M</w:t>
      </w:r>
      <w:r>
        <w:t xml:space="preserve"> </w:t>
      </w:r>
      <w:r>
        <w:t xml:space="preserve">reiterated; the business is front-half-loaded, so a soft Q2 is expected and</w:t>
      </w:r>
      <w:r>
        <w:t xml:space="preserve"> </w:t>
      </w:r>
      <w:r>
        <w:rPr>
          <w:i/>
          <w:iCs/>
        </w:rPr>
        <w:t xml:space="preserve">not</w:t>
      </w:r>
      <w:r>
        <w:t xml:space="preserve"> </w:t>
      </w:r>
      <w:r>
        <w:t xml:space="preserve">a red flag. New disclosure splits SLS into Real Estate, Natural Resources, and</w:t>
      </w:r>
      <w:r>
        <w:t xml:space="preserve"> </w:t>
      </w:r>
      <w:r>
        <w:rPr>
          <w:b/>
          <w:bCs/>
        </w:rPr>
        <w:t xml:space="preserve">Climate Solutions</w:t>
      </w:r>
      <w:r>
        <w:t xml:space="preserve"> </w:t>
      </w:r>
      <w:r>
        <w:t xml:space="preserve">(solar/wind leasing, conservation, carbon) — watch for renewables momentum (1 solar facility operating, 3+ under construction, a wave of new options signed).</w:t>
      </w:r>
    </w:p>
    <w:p>
      <w:pPr>
        <w:pStyle w:val="Compact"/>
        <w:numPr>
          <w:ilvl w:val="0"/>
          <w:numId w:val="1001"/>
        </w:numPr>
      </w:pPr>
      <w:r>
        <w:rPr>
          <w:b/>
          <w:bCs/>
        </w:rPr>
        <w:t xml:space="preserve">Cost inflation:</w:t>
      </w:r>
      <w:r>
        <w:t xml:space="preserve"> </w:t>
      </w:r>
      <w:r>
        <w:t xml:space="preserve">management flagged a</w:t>
      </w:r>
      <w:r>
        <w:t xml:space="preserve"> </w:t>
      </w:r>
      <w:r>
        <w:rPr>
          <w:b/>
          <w:bCs/>
        </w:rPr>
        <w:t xml:space="preserve">~$10M/month gross headwind</w:t>
      </w:r>
      <w:r>
        <w:t xml:space="preserve"> </w:t>
      </w:r>
      <w:r>
        <w:t xml:space="preserve">from the Middle East conflict (fuel, ocean freight, resin, additives), "a majority" of which they expect to offset via procurement and pass-through. Also</w:t>
      </w:r>
      <w:r>
        <w:t xml:space="preserve"> </w:t>
      </w:r>
      <w:r>
        <w:rPr>
          <w:b/>
          <w:bCs/>
        </w:rPr>
        <w:t xml:space="preserve">planned maintenance outages at three OSB mills</w:t>
      </w:r>
      <w:r>
        <w:t xml:space="preserve"> </w:t>
      </w:r>
      <w:r>
        <w:t xml:space="preserve">in Q2.</w:t>
      </w:r>
    </w:p>
    <w:p>
      <w:r>
        <w:pict>
          <v:rect style="width:0;height:1.5pt" o:hralign="center" o:hrstd="t" o:hr="t"/>
        </w:pict>
      </w:r>
    </w:p>
    <w:bookmarkEnd w:id="10"/>
    <w:bookmarkStart w:id="11" w:name="the-bull-case-for-the-quarter-lumber"/>
    <w:p>
      <w:pPr>
        <w:pStyle w:val="Heading2"/>
      </w:pPr>
      <w:r>
        <w:t xml:space="preserve">The bull case for the quarter: lumber</w:t>
      </w:r>
    </w:p>
    <w:p>
      <w:pPr>
        <w:pStyle w:val="FirstParagraph"/>
      </w:pPr>
      <w:r>
        <w:t xml:space="preserve">This is the story. On the Q1 call, WY said quarter-to-date Q2 lumber realizations were</w:t>
      </w:r>
      <w:r>
        <w:t xml:space="preserve"> </w:t>
      </w:r>
      <w:r>
        <w:rPr>
          <w:b/>
          <w:bCs/>
        </w:rPr>
        <w:t xml:space="preserve">"significantly higher"</w:t>
      </w:r>
      <w:r>
        <w:t xml:space="preserve"> </w:t>
      </w:r>
      <w:r>
        <w:t xml:space="preserve">than the Q1 average (Q1 itself was already +13% QoQ), with OSB "slightly higher."</w:t>
      </w:r>
    </w:p>
    <w:p>
      <w:pPr>
        <w:pStyle w:val="BodyText"/>
      </w:pPr>
      <w:r>
        <w:t xml:space="preserve">Current external data supports a firm—but not booming—lumber tape:</w:t>
      </w:r>
    </w:p>
    <w:p>
      <w:pPr>
        <w:pStyle w:val="Compact"/>
        <w:numPr>
          <w:ilvl w:val="0"/>
          <w:numId w:val="1002"/>
        </w:numPr>
      </w:pPr>
      <w:r>
        <w:t xml:space="preserve">The framing lumber composite has been grinding higher: NAHB/Madison's index was</w:t>
      </w:r>
      <w:r>
        <w:t xml:space="preserve"> </w:t>
      </w:r>
      <w:r>
        <w:rPr>
          <w:b/>
          <w:bCs/>
        </w:rPr>
        <w:t xml:space="preserve">up ~2.8% month-over-month as of mid-July, though ~0.4% below a year ago</w:t>
      </w:r>
      <w:r>
        <w:t xml:space="preserve">; CME lumber futures sit around</w:t>
      </w:r>
      <w:r>
        <w:t xml:space="preserve"> </w:t>
      </w:r>
      <w:r>
        <w:rPr>
          <w:b/>
          <w:bCs/>
        </w:rPr>
        <w:t xml:space="preserve">~$636/mbf, up ~3% on the month but still ~8% below year-ago levels.</w:t>
      </w:r>
    </w:p>
    <w:p>
      <w:pPr>
        <w:pStyle w:val="Compact"/>
        <w:numPr>
          <w:ilvl w:val="0"/>
          <w:numId w:val="1002"/>
        </w:numPr>
      </w:pPr>
      <w:r>
        <w:t xml:space="preserve">The driver management emphasized is</w:t>
      </w:r>
      <w:r>
        <w:t xml:space="preserve"> </w:t>
      </w:r>
      <w:r>
        <w:rPr>
          <w:b/>
          <w:bCs/>
        </w:rPr>
        <w:t xml:space="preserve">supply discipline, not demand</w:t>
      </w:r>
      <w:r>
        <w:t xml:space="preserve"> </w:t>
      </w:r>
      <w:r>
        <w:t xml:space="preserve">— ~50 mills curtailed/closed over the past two years, especially tight in Southern Yellow Pine, against lean dealer inventories. Devin Stockfish stressed WY can be highly profitable in Wood Products "well below 1.5M starts" if the supply/demand balance is right.</w:t>
      </w:r>
    </w:p>
    <w:p>
      <w:pPr>
        <w:pStyle w:val="FirstParagraph"/>
      </w:pPr>
      <w:r>
        <w:rPr>
          <w:b/>
          <w:bCs/>
        </w:rPr>
        <w:t xml:space="preserve">Watch:</w:t>
      </w:r>
      <w:r>
        <w:t xml:space="preserve"> </w:t>
      </w:r>
      <w:r>
        <w:t xml:space="preserve">whether SYP has stabilized after its Q1 spike, the Douglas fir strength (California demand), and whether higher lumber prices are finally pulling</w:t>
      </w:r>
      <w:r>
        <w:t xml:space="preserve"> </w:t>
      </w:r>
      <w:r>
        <w:rPr>
          <w:b/>
          <w:bCs/>
        </w:rPr>
        <w:t xml:space="preserve">Western log prices</w:t>
      </w:r>
      <w:r>
        <w:t xml:space="preserve"> </w:t>
      </w:r>
      <w:r>
        <w:t xml:space="preserve">up in Timberlands.</w:t>
      </w:r>
    </w:p>
    <w:p>
      <w:r>
        <w:pict>
          <v:rect style="width:0;height:1.5pt" o:hralign="center" o:hrstd="t" o:hr="t"/>
        </w:pict>
      </w:r>
    </w:p>
    <w:bookmarkEnd w:id="11"/>
    <w:bookmarkStart w:id="12" w:name="the-macro-overhang-housing--rr"/>
    <w:p>
      <w:pPr>
        <w:pStyle w:val="Heading2"/>
      </w:pPr>
      <w:r>
        <w:t xml:space="preserve">The macro overhang: housing &amp; R&amp;R</w:t>
      </w:r>
    </w:p>
    <w:p>
      <w:pPr>
        <w:pStyle w:val="FirstParagraph"/>
      </w:pPr>
      <w:r>
        <w:t xml:space="preserve">Management called housing</w:t>
      </w:r>
      <w:r>
        <w:t xml:space="preserve"> </w:t>
      </w:r>
      <w:r>
        <w:rPr>
          <w:b/>
          <w:bCs/>
        </w:rPr>
        <w:t xml:space="preserve">"stuck in second gear"</w:t>
      </w:r>
      <w:r>
        <w:t xml:space="preserve"> </w:t>
      </w:r>
      <w:r>
        <w:t xml:space="preserve">— and the latest data is mixed-to-soft:</w:t>
      </w:r>
    </w:p>
    <w:p>
      <w:pPr>
        <w:pStyle w:val="Compact"/>
        <w:numPr>
          <w:ilvl w:val="0"/>
          <w:numId w:val="1003"/>
        </w:numPr>
      </w:pPr>
      <w:r>
        <w:rPr>
          <w:b/>
          <w:bCs/>
        </w:rPr>
        <w:t xml:space="preserve">June housing starts jumped ~19% to a ~1.43M SAAR, but the gain was essentially all multifamily</w:t>
      </w:r>
      <w:r>
        <w:t xml:space="preserve">; single-family starts were ~895k and roughly flat/slightly down, with permits weakening — i.e., the segment that matters most for WY's Engineered Wood Products (EWP) remains under pressure.</w:t>
      </w:r>
    </w:p>
    <w:p>
      <w:pPr>
        <w:pStyle w:val="Compact"/>
        <w:numPr>
          <w:ilvl w:val="0"/>
          <w:numId w:val="1003"/>
        </w:numPr>
      </w:pPr>
      <w:r>
        <w:rPr>
          <w:b/>
          <w:bCs/>
        </w:rPr>
        <w:t xml:space="preserve">Mortgage rates</w:t>
      </w:r>
      <w:r>
        <w:t xml:space="preserve"> </w:t>
      </w:r>
      <w:r>
        <w:t xml:space="preserve">have ticked back up to roughly</w:t>
      </w:r>
      <w:r>
        <w:t xml:space="preserve"> </w:t>
      </w:r>
      <w:r>
        <w:rPr>
          <w:b/>
          <w:bCs/>
        </w:rPr>
        <w:t xml:space="preserve">6.4–6.5%</w:t>
      </w:r>
      <w:r>
        <w:t xml:space="preserve"> </w:t>
      </w:r>
      <w:r>
        <w:t xml:space="preserve">after briefly dipping near 6% earlier in the year, keeping affordability the key constraint.</w:t>
      </w:r>
    </w:p>
    <w:p>
      <w:pPr>
        <w:pStyle w:val="Compact"/>
        <w:numPr>
          <w:ilvl w:val="0"/>
          <w:numId w:val="1003"/>
        </w:numPr>
      </w:pPr>
      <w:r>
        <w:rPr>
          <w:b/>
          <w:bCs/>
        </w:rPr>
        <w:t xml:space="preserve">Repair &amp; remodel</w:t>
      </w:r>
      <w:r>
        <w:t xml:space="preserve"> </w:t>
      </w:r>
      <w:r>
        <w:t xml:space="preserve">is "steady but lacking a catalyst," with pro holding up better than DIY and consumers favoring smaller projects (less wood intensity).</w:t>
      </w:r>
    </w:p>
    <w:p>
      <w:pPr>
        <w:pStyle w:val="FirstParagraph"/>
      </w:pPr>
      <w:r>
        <w:t xml:space="preserve">EWP is the cleanest read on single-family: Q1 realizations slipped ~4–5% and management guided Q2 to</w:t>
      </w:r>
      <w:r>
        <w:t xml:space="preserve"> </w:t>
      </w:r>
      <w:r>
        <w:rPr>
          <w:b/>
          <w:bCs/>
        </w:rPr>
        <w:t xml:space="preserve">higher volumes but comparable pricing</w:t>
      </w:r>
      <w:r>
        <w:t xml:space="preserve"> </w:t>
      </w:r>
      <w:r>
        <w:t xml:space="preserve">— so look for whether EWP price has truly bottomed.</w:t>
      </w:r>
    </w:p>
    <w:p>
      <w:r>
        <w:pict>
          <v:rect style="width:0;height:1.5pt" o:hralign="center" o:hrstd="t" o:hr="t"/>
        </w:pict>
      </w:r>
    </w:p>
    <w:bookmarkEnd w:id="12"/>
    <w:bookmarkStart w:id="13" w:name="softwood-lumber-duties--a-live-catalyst"/>
    <w:p>
      <w:pPr>
        <w:pStyle w:val="Heading2"/>
      </w:pPr>
      <w:r>
        <w:t xml:space="preserve">Softwood lumber duties — a live catalyst</w:t>
      </w:r>
    </w:p>
    <w:p>
      <w:pPr>
        <w:pStyle w:val="FirstParagraph"/>
      </w:pPr>
      <w:r>
        <w:t xml:space="preserve">A key second-half swing factor investors will probe on the call:</w:t>
      </w:r>
    </w:p>
    <w:p>
      <w:pPr>
        <w:pStyle w:val="Compact"/>
        <w:numPr>
          <w:ilvl w:val="0"/>
          <w:numId w:val="1004"/>
        </w:numPr>
      </w:pPr>
      <w:r>
        <w:t xml:space="preserve">The AR7</w:t>
      </w:r>
      <w:r>
        <w:t xml:space="preserve"> </w:t>
      </w:r>
      <w:r>
        <w:rPr>
          <w:b/>
          <w:bCs/>
        </w:rPr>
        <w:t xml:space="preserve">preliminary</w:t>
      </w:r>
      <w:r>
        <w:t xml:space="preserve"> </w:t>
      </w:r>
      <w:r>
        <w:t xml:space="preserve">determination cut the antidumping/countervailing rate to</w:t>
      </w:r>
      <w:r>
        <w:t xml:space="preserve"> </w:t>
      </w:r>
      <w:r>
        <w:rPr>
          <w:b/>
          <w:bCs/>
        </w:rPr>
        <w:t xml:space="preserve">~24.83%</w:t>
      </w:r>
      <w:r>
        <w:t xml:space="preserve">, but with the Section 232 tariff the</w:t>
      </w:r>
      <w:r>
        <w:t xml:space="preserve"> </w:t>
      </w:r>
      <w:r>
        <w:rPr>
          <w:b/>
          <w:bCs/>
        </w:rPr>
        <w:t xml:space="preserve">combined effective rate stays ~34.83%</w:t>
      </w:r>
      <w:r>
        <w:t xml:space="preserve"> </w:t>
      </w:r>
      <w:r>
        <w:t xml:space="preserve">for now.</w:t>
      </w:r>
    </w:p>
    <w:p>
      <w:pPr>
        <w:pStyle w:val="Compact"/>
        <w:numPr>
          <w:ilvl w:val="0"/>
          <w:numId w:val="1004"/>
        </w:numPr>
      </w:pPr>
      <w:r>
        <w:rPr>
          <w:b/>
          <w:bCs/>
        </w:rPr>
        <w:t xml:space="preserve">Final results are expected around late August 2026</w:t>
      </w:r>
      <w:r>
        <w:t xml:space="preserve"> </w:t>
      </w:r>
      <w:r>
        <w:t xml:space="preserve">(potentially slipping to October). WY framed this as all-in duties falling from ~45% toward ~35%. Less Canadian SPF entering the U.S. is a structural tailwind for WY's Southern Yellow Pine and Douglas fir.</w:t>
      </w:r>
    </w:p>
    <w:p>
      <w:r>
        <w:pict>
          <v:rect style="width:0;height:1.5pt" o:hralign="center" o:hrstd="t" o:hr="t"/>
        </w:pict>
      </w:r>
    </w:p>
    <w:bookmarkEnd w:id="13"/>
    <w:bookmarkStart w:id="14" w:name="balance-sheet-capital-return--portfolio"/>
    <w:p>
      <w:pPr>
        <w:pStyle w:val="Heading2"/>
      </w:pPr>
      <w:r>
        <w:t xml:space="preserve">Balance sheet, capital return &amp; portfolio</w:t>
      </w:r>
    </w:p>
    <w:p>
      <w:pPr>
        <w:pStyle w:val="Compact"/>
        <w:numPr>
          <w:ilvl w:val="0"/>
          <w:numId w:val="1005"/>
        </w:numPr>
      </w:pPr>
      <w:r>
        <w:rPr>
          <w:b/>
          <w:bCs/>
        </w:rPr>
        <w:t xml:space="preserve">Leverage</w:t>
      </w:r>
      <w:r>
        <w:t xml:space="preserve"> </w:t>
      </w:r>
      <w:r>
        <w:t xml:space="preserve">sits a bit above</w:t>
      </w:r>
      <w:r>
        <w:t xml:space="preserve"> </w:t>
      </w:r>
      <w:r>
        <w:rPr>
          <w:b/>
          <w:bCs/>
        </w:rPr>
        <w:t xml:space="preserve">5x trailing net debt/EBITDA</w:t>
      </w:r>
      <w:r>
        <w:t xml:space="preserve"> </w:t>
      </w:r>
      <w:r>
        <w:t xml:space="preserve">— elevated because of the cyclical earnings trough. Management's target is</w:t>
      </w:r>
      <w:r>
        <w:t xml:space="preserve"> </w:t>
      </w:r>
      <w:r>
        <w:rPr>
          <w:b/>
          <w:bCs/>
        </w:rPr>
        <w:t xml:space="preserve">3.5x mid-cycle</w:t>
      </w:r>
      <w:r>
        <w:t xml:space="preserve"> </w:t>
      </w:r>
      <w:r>
        <w:t xml:space="preserve">and insists it doesn't "take much" EBITDA normalization to get there; maintaining investment grade is "foundational." Expect this to draw questions given "higher-for-longer."</w:t>
      </w:r>
    </w:p>
    <w:p>
      <w:pPr>
        <w:pStyle w:val="Compact"/>
        <w:numPr>
          <w:ilvl w:val="0"/>
          <w:numId w:val="1005"/>
        </w:numPr>
      </w:pPr>
      <w:r>
        <w:rPr>
          <w:b/>
          <w:bCs/>
        </w:rPr>
        <w:t xml:space="preserve">Monticello EWP facility:</w:t>
      </w:r>
      <w:r>
        <w:t xml:space="preserve"> </w:t>
      </w:r>
      <w:r>
        <w:t xml:space="preserve">~</w:t>
      </w:r>
      <w:r>
        <w:rPr>
          <w:b/>
          <w:bCs/>
        </w:rPr>
        <w:t xml:space="preserve">$300M of capex in 2026</w:t>
      </w:r>
      <w:r>
        <w:t xml:space="preserve"> </w:t>
      </w:r>
      <w:r>
        <w:t xml:space="preserve">(excluded from Adjusted FAD in the cash-return framework); startup is a</w:t>
      </w:r>
      <w:r>
        <w:t xml:space="preserve"> </w:t>
      </w:r>
      <w:r>
        <w:rPr>
          <w:b/>
          <w:bCs/>
        </w:rPr>
        <w:t xml:space="preserve">2027</w:t>
      </w:r>
      <w:r>
        <w:t xml:space="preserve"> </w:t>
      </w:r>
      <w:r>
        <w:t xml:space="preserve">growth story leveraging TimberStrand/AeroStrand.</w:t>
      </w:r>
    </w:p>
    <w:p>
      <w:pPr>
        <w:pStyle w:val="Compact"/>
        <w:numPr>
          <w:ilvl w:val="0"/>
          <w:numId w:val="1005"/>
        </w:numPr>
      </w:pPr>
      <w:r>
        <w:rPr>
          <w:b/>
          <w:bCs/>
        </w:rPr>
        <w:t xml:space="preserve">Cash returns:</w:t>
      </w:r>
      <w:r>
        <w:t xml:space="preserve"> </w:t>
      </w:r>
      <w:r>
        <w:t xml:space="preserve">base dividend (~</w:t>
      </w:r>
      <m:oMath>
        <m:r>
          <m:t>151</m:t>
        </m:r>
        <m:r>
          <m:t>M</m:t>
        </m:r>
        <m:r>
          <m:rPr>
            <m:sty m:val="p"/>
          </m:rPr>
          <m:t>/</m:t>
        </m:r>
        <m:r>
          <m:t>q</m:t>
        </m:r>
        <m:r>
          <m:t>u</m:t>
        </m:r>
        <m:r>
          <m:t>a</m:t>
        </m:r>
        <m:r>
          <m:t>r</m:t>
        </m:r>
        <m:r>
          <m:t>t</m:t>
        </m:r>
        <m:r>
          <m:t>e</m:t>
        </m:r>
        <m:r>
          <m:t>r</m:t>
        </m:r>
        <m:r>
          <m:rPr>
            <m:sty m:val="p"/>
          </m:rPr>
          <m:t>)</m:t>
        </m:r>
        <m:r>
          <m:t>p</m:t>
        </m:r>
        <m:r>
          <m:t>l</m:t>
        </m:r>
        <m:r>
          <m:t>u</m:t>
        </m:r>
        <m:r>
          <m:t>s</m:t>
        </m:r>
        <m:r>
          <m:t>m</m:t>
        </m:r>
        <m:r>
          <m:t>o</m:t>
        </m:r>
        <m:r>
          <m:t>d</m:t>
        </m:r>
        <m:r>
          <m:t>e</m:t>
        </m:r>
        <m:r>
          <m:t>s</m:t>
        </m:r>
        <m:r>
          <m:t>t</m:t>
        </m:r>
        <m:r>
          <m:t>b</m:t>
        </m:r>
        <m:r>
          <m:t>u</m:t>
        </m:r>
        <m:r>
          <m:t>y</m:t>
        </m:r>
        <m:r>
          <m:t>b</m:t>
        </m:r>
        <m:r>
          <m:t>a</m:t>
        </m:r>
        <m:r>
          <m:t>c</m:t>
        </m:r>
        <m:r>
          <m:t>k</m:t>
        </m:r>
        <m:r>
          <m:t>s</m:t>
        </m:r>
        <m:r>
          <m:rPr>
            <m:sty m:val="p"/>
          </m:rPr>
          <m:t>(</m:t>
        </m:r>
        <m:r>
          <m:t> </m:t>
        </m:r>
      </m:oMath>
      <w:r>
        <w:t xml:space="preserve">10M in Q1); Q2 is seasonally the strongest operating cash-flow quarter (year-ago Q2 CFO was ~$396M), so watch buyback pace.</w:t>
      </w:r>
    </w:p>
    <w:p>
      <w:pPr>
        <w:pStyle w:val="Compact"/>
        <w:numPr>
          <w:ilvl w:val="0"/>
          <w:numId w:val="1005"/>
        </w:numPr>
      </w:pPr>
      <w:r>
        <w:rPr>
          <w:b/>
          <w:bCs/>
        </w:rPr>
        <w:t xml:space="preserve">Portfolio optimization:</w:t>
      </w:r>
      <w:r>
        <w:t xml:space="preserve"> </w:t>
      </w:r>
      <w:r>
        <w:t xml:space="preserve">completed the $192M Virginia timberlands divestiture and the final $22M of Princeton (BC) proceeds — together nearly offsetting 2026 Monticello spend. Growth via distribution build-out (now 22 locations; adding Gallatin, TN) and new products (AeroStrand, ProPanel).</w:t>
      </w:r>
    </w:p>
    <w:p>
      <w:r>
        <w:pict>
          <v:rect style="width:0;height:1.5pt" o:hralign="center" o:hrstd="t" o:hr="t"/>
        </w:pict>
      </w:r>
    </w:p>
    <w:bookmarkEnd w:id="14"/>
    <w:bookmarkStart w:id="15" w:name="X235522a552e0f709a3cc279f413c1524dab695f"/>
    <w:p>
      <w:pPr>
        <w:pStyle w:val="Heading2"/>
      </w:pPr>
      <w:r>
        <w:t xml:space="preserve">Year-ago context (be careful on comparability)</w:t>
      </w:r>
    </w:p>
    <w:p>
      <w:pPr>
        <w:pStyle w:val="FirstParagraph"/>
      </w:pPr>
      <w:r>
        <w:t xml:space="preserve">Q2 2025 delivered</w:t>
      </w:r>
      <w:r>
        <w:t xml:space="preserve"> </w:t>
      </w:r>
      <w:r>
        <w:rPr>
          <w:b/>
          <w:bCs/>
        </w:rPr>
        <w:t xml:space="preserve">$336M Adj. EBITDA and $0.12 EPS</w:t>
      </w:r>
      <w:r>
        <w:t xml:space="preserve"> </w:t>
      </w:r>
      <w:r>
        <w:t xml:space="preserve">(Timberlands $152M, Real Estate/ENR $143M, Wood Products $101M). Note segment definitions changed in 2026 (SLS renamed/expanded; "basis" now on total SLS sales). Given the guided SLS step-down and softer Timberlands, a</w:t>
      </w:r>
      <w:r>
        <w:t xml:space="preserve"> </w:t>
      </w:r>
      <w:r>
        <w:rPr>
          <w:b/>
          <w:bCs/>
        </w:rPr>
        <w:t xml:space="preserve">year-over-year EBITDA decline is likely</w:t>
      </w:r>
      <w:r>
        <w:t xml:space="preserve"> </w:t>
      </w:r>
      <w:r>
        <w:t xml:space="preserve">unless the lumber-price flow-through more than offsets it — reinforcing that</w:t>
      </w:r>
      <w:r>
        <w:t xml:space="preserve"> </w:t>
      </w:r>
      <w:r>
        <w:rPr>
          <w:b/>
          <w:bCs/>
        </w:rPr>
        <w:t xml:space="preserve">lumber realizations are the whole ballgame</w:t>
      </w:r>
      <w:r>
        <w:t xml:space="preserve"> </w:t>
      </w:r>
      <w:r>
        <w:t xml:space="preserve">for a beat.</w:t>
      </w:r>
    </w:p>
    <w:p>
      <w:r>
        <w:pict>
          <v:rect style="width:0;height:1.5pt" o:hralign="center" o:hrstd="t" o:hr="t"/>
        </w:pict>
      </w:r>
    </w:p>
    <w:bookmarkEnd w:id="15"/>
    <w:bookmarkStart w:id="16" w:name="what-to-listen-for-on-the-call"/>
    <w:p>
      <w:pPr>
        <w:pStyle w:val="Heading2"/>
      </w:pPr>
      <w:r>
        <w:t xml:space="preserve">What to listen for on the call</w:t>
      </w:r>
    </w:p>
    <w:p>
      <w:pPr>
        <w:pStyle w:val="Compact"/>
        <w:numPr>
          <w:ilvl w:val="0"/>
          <w:numId w:val="1006"/>
        </w:numPr>
      </w:pPr>
      <w:r>
        <w:rPr>
          <w:b/>
          <w:bCs/>
        </w:rPr>
        <w:t xml:space="preserve">Lumber &amp; OSB realization deltas</w:t>
      </w:r>
      <w:r>
        <w:t xml:space="preserve"> </w:t>
      </w:r>
      <w:r>
        <w:t xml:space="preserve">vs. Q1 average — the single biggest driver of the Q2 print and Q3 guide.</w:t>
      </w:r>
    </w:p>
    <w:p>
      <w:pPr>
        <w:pStyle w:val="Compact"/>
        <w:numPr>
          <w:ilvl w:val="0"/>
          <w:numId w:val="1006"/>
        </w:numPr>
      </w:pPr>
      <w:r>
        <w:rPr>
          <w:b/>
          <w:bCs/>
        </w:rPr>
        <w:t xml:space="preserve">Q3 2026 guidance</w:t>
      </w:r>
      <w:r>
        <w:t xml:space="preserve"> </w:t>
      </w:r>
      <w:r>
        <w:t xml:space="preserve">and any change to the</w:t>
      </w:r>
      <w:r>
        <w:t xml:space="preserve"> </w:t>
      </w:r>
      <w:r>
        <w:rPr>
          <w:b/>
          <w:bCs/>
        </w:rPr>
        <w:t xml:space="preserve">$425M SLS full-year</w:t>
      </w:r>
      <w:r>
        <w:t xml:space="preserve"> </w:t>
      </w:r>
      <w:r>
        <w:t xml:space="preserve">target.</w:t>
      </w:r>
    </w:p>
    <w:p>
      <w:pPr>
        <w:pStyle w:val="Compact"/>
        <w:numPr>
          <w:ilvl w:val="0"/>
          <w:numId w:val="1006"/>
        </w:numPr>
      </w:pPr>
      <w:r>
        <w:rPr>
          <w:b/>
          <w:bCs/>
        </w:rPr>
        <w:t xml:space="preserve">Duty outlook</w:t>
      </w:r>
      <w:r>
        <w:t xml:space="preserve"> </w:t>
      </w:r>
      <w:r>
        <w:t xml:space="preserve">— magnitude/timing of the late-August final rate and its effect on SYP/Doug fir.</w:t>
      </w:r>
    </w:p>
    <w:p>
      <w:pPr>
        <w:pStyle w:val="Compact"/>
        <w:numPr>
          <w:ilvl w:val="0"/>
          <w:numId w:val="1006"/>
        </w:numPr>
      </w:pPr>
      <w:r>
        <w:rPr>
          <w:b/>
          <w:bCs/>
        </w:rPr>
        <w:t xml:space="preserve">Cost trajectory</w:t>
      </w:r>
      <w:r>
        <w:t xml:space="preserve"> </w:t>
      </w:r>
      <w:r>
        <w:t xml:space="preserve">— whether the ~$10M/month Middle East-driven inflation is fully offsettable; OSB maintenance costs; resin/freight.</w:t>
      </w:r>
    </w:p>
    <w:p>
      <w:pPr>
        <w:pStyle w:val="Compact"/>
        <w:numPr>
          <w:ilvl w:val="0"/>
          <w:numId w:val="1006"/>
        </w:numPr>
      </w:pPr>
      <w:r>
        <w:rPr>
          <w:b/>
          <w:bCs/>
        </w:rPr>
        <w:t xml:space="preserve">Leverage &amp; capital allocation</w:t>
      </w:r>
      <w:r>
        <w:t xml:space="preserve"> </w:t>
      </w:r>
      <w:r>
        <w:t xml:space="preserve">— comfort with 5x+ trailing, buyback appetite, and Monticello spend.</w:t>
      </w:r>
    </w:p>
    <w:p>
      <w:pPr>
        <w:pStyle w:val="Compact"/>
        <w:numPr>
          <w:ilvl w:val="0"/>
          <w:numId w:val="1006"/>
        </w:numPr>
      </w:pPr>
      <w:r>
        <w:rPr>
          <w:b/>
          <w:bCs/>
        </w:rPr>
        <w:t xml:space="preserve">Housing tone</w:t>
      </w:r>
      <w:r>
        <w:t xml:space="preserve"> </w:t>
      </w:r>
      <w:r>
        <w:t xml:space="preserve">— single-family vs. multifamily, R&amp;R inflection, mortgage-rate sensitivity.</w:t>
      </w:r>
    </w:p>
    <w:p>
      <w:pPr>
        <w:pStyle w:val="Compact"/>
        <w:numPr>
          <w:ilvl w:val="0"/>
          <w:numId w:val="1006"/>
        </w:numPr>
      </w:pPr>
      <w:r>
        <w:rPr>
          <w:b/>
          <w:bCs/>
        </w:rPr>
        <w:t xml:space="preserve">Climate Solutions/renewables</w:t>
      </w:r>
      <w:r>
        <w:t xml:space="preserve"> </w:t>
      </w:r>
      <w:r>
        <w:t xml:space="preserve">— new segment disclosure and the solar/wind option pipeline as an emerging value lever.</w:t>
      </w:r>
    </w:p>
    <w:p>
      <w:pPr>
        <w:pStyle w:val="FirstParagraph"/>
      </w:pPr>
      <w:r>
        <w:rPr>
          <w:b/>
          <w:bCs/>
        </w:rPr>
        <w:t xml:space="preserve">Bottom line:</w:t>
      </w:r>
      <w:r>
        <w:t xml:space="preserve"> </w:t>
      </w:r>
      <w:r>
        <w:t xml:space="preserve">A "quiet quarter" setup where the base businesses track guidance and</w:t>
      </w:r>
      <w:r>
        <w:t xml:space="preserve"> </w:t>
      </w:r>
      <w:r>
        <w:rPr>
          <w:b/>
          <w:bCs/>
        </w:rPr>
        <w:t xml:space="preserve">lumber price flow-through determines whether WY beats.</w:t>
      </w:r>
      <w:r>
        <w:t xml:space="preserve"> </w:t>
      </w:r>
      <w:r>
        <w:t xml:space="preserve">The bigger investor debate is the through-cycle one — a depressed housing/EWP backdrop and above-target leverage today versus lumber supply tightening, duty relief, renewables optionality, and the Monticello/new-product growth runway into 2027.</w:t>
      </w:r>
    </w:p>
    <w:p>
      <w:pPr>
        <w:pStyle w:val="BodyText"/>
      </w:pPr>
      <w:r>
        <w:rPr>
          <w:i/>
          <w:iCs/>
        </w:rPr>
        <w:t xml:space="preserve">Note: figures on lumber prices, housing starts, mortgage rates, and duty rates are from public/market data as of late July 2026; segment guidance and Q1/Q2-2025 financials are from WY's own earnings materials.</w:t>
      </w:r>
    </w:p>
    <w:bookmarkEnd w:id="16"/>
    <w:sectPr>
      <w:footnotePr>
        <w:numRestart w:val="eachSect"/>
      </w:footnotePr>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r="http://schemas.openxmlformats.org/officeDocument/2006/relationships" xmlns:w="http://schemas.openxmlformats.org/wordprocessingml/2006/main">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numbering.xml><?xml version="1.0" encoding="utf-8"?>
<w:numbering xmlns:w="http://schemas.openxmlformats.org/wordprocessingml/2006/main">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991">
    <w:nsid w:val="0000A991"/>
    <w:multiLevelType w:val="multilevel"/>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abstractNum w:abstractNumId="99411">
    <w:nsid w:val="00A99411"/>
    <w:multiLevelType w:val="multilevel"/>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num w:numId="1000">
    <w:abstractNumId w:val="990"/>
  </w:num>
  <w:num w:numId="1001">
    <w:abstractNumId w:val="991"/>
  </w:num>
  <w:num w:numId="1002">
    <w:abstractNumId w:val="991"/>
  </w:num>
  <w:num w:numId="1003">
    <w:abstractNumId w:val="991"/>
  </w:num>
  <w:num w:numId="1004">
    <w:abstractNumId w:val="991"/>
  </w:num>
  <w:num w:numId="1005">
    <w:abstractNumId w:val="991"/>
  </w:num>
  <w:num w:numId="1006">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proofState w:grammar="clean" w:spelling="clean"/>
  <w:stylePaneFormatFilter w:val="0004"/>
  <w:doNotTrackMoves/>
  <w:defaultTabStop w:val="720"/>
  <w:drawingGridHorizontalSpacing w:val="360"/>
  <w:drawingGridVerticalSpacing w:val="360"/>
  <w:displayHorizontalDrawingGridEvery w:val="0"/>
  <w:displayVerticalDrawingGridEvery w:val="0"/>
  <w:characterSpacingControl w:val="doNotCompress"/>
  <w:savePreviewPicture/>
  <w:rsids>
  </w:rsids>
  <w:themeFontLang w:val="en-US"/>
  <w:clrSchemeMapping w:accent1="accent1" w:accent2="accent2" w:accent3="accent3" w:accent4="accent4" w:accent5="accent5" w:accent6="accent6" w:bg1="light1" w:bg2="light2" w:followedHyperlink="followedHyperlink" w:hyperlink="hyperlink" w:t1="dark1" w:t2="dark2"/>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cstheme="minorBidi" w:eastAsiaTheme="minorEastAsia" w:hAnsiTheme="minorHAnsi"/>
        <w:sz w:val="24"/>
        <w:szCs w:val="24"/>
        <w:lang w:bidi="ar-SA" w:eastAsia="zh-CN" w:val="en-US"/>
      </w:rPr>
    </w:rPrDefault>
    <w:pPrDefault>
      <w:pPr>
        <w:spacing w:after="200"/>
      </w:pPr>
    </w:pPrDefault>
  </w:docDefaults>
  <w:latentStyles w:count="276" w:defLockedState="0" w:defQFormat="0" w:defSemiHidden="0" w:defUIPriority="0" w:defUnhideWhenUsed="0"/>
  <w:style w:default="1" w:styleId="Normal" w:type="paragraph">
    <w:name w:val="Normal"/>
    <w:qFormat/>
  </w:style>
  <w:style w:styleId="BodyText" w:type="paragraph">
    <w:name w:val="Body Text"/>
    <w:basedOn w:val="Normal"/>
    <w:link w:val="BodyTextChar"/>
    <w:qFormat/>
    <w:pPr>
      <w:spacing w:after="180" w:before="180"/>
    </w:pPr>
  </w:style>
  <w:style w:customStyle="1" w:styleId="FirstParagraph" w:type="paragraph">
    <w:name w:val="First Paragraph"/>
    <w:basedOn w:val="BodyText"/>
    <w:next w:val="BodyText"/>
    <w:qFormat/>
  </w:style>
  <w:style w:customStyle="1" w:styleId="Compact" w:type="paragraph">
    <w:name w:val="Compact"/>
    <w:basedOn w:val="BodyText"/>
    <w:qFormat/>
    <w:pPr>
      <w:spacing w:after="36" w:before="36"/>
    </w:pPr>
  </w:style>
  <w:style w:styleId="Title" w:type="paragraph">
    <w:name w:val="Title"/>
    <w:basedOn w:val="Normal"/>
    <w:next w:val="BodyText"/>
    <w:link w:val="TitleChar"/>
    <w:uiPriority w:val="10"/>
    <w:qFormat/>
    <w:rsid w:val="00A10FD9"/>
    <w:pPr>
      <w:spacing w:after="80" w:line="240" w:lineRule="auto"/>
      <w:contextualSpacing/>
      <w:jc w:val="center"/>
    </w:pPr>
    <w:rPr>
      <w:rFonts w:asciiTheme="majorHAnsi" w:cstheme="majorBidi" w:eastAsiaTheme="majorEastAsia" w:hAnsiTheme="majorHAnsi"/>
      <w:sz w:val="56"/>
      <w:szCs w:val="56"/>
    </w:rPr>
  </w:style>
  <w:style w:customStyle="1" w:styleId="TitleChar" w:type="character">
    <w:name w:val="Title Char"/>
    <w:basedOn w:val="DefaultParagraphFont"/>
    <w:link w:val="Title"/>
    <w:uiPriority w:val="10"/>
    <w:rsid w:val="00A10FD9"/>
    <w:rPr>
      <w:rFonts w:asciiTheme="majorHAnsi" w:cstheme="majorBidi" w:eastAsiaTheme="majorEastAsia" w:hAnsiTheme="majorHAnsi"/>
      <w:sz w:val="56"/>
      <w:szCs w:val="56"/>
    </w:rPr>
  </w:style>
  <w:style w:styleId="Subtitle" w:type="paragraph">
    <w:name w:val="Subtitle"/>
    <w:basedOn w:val="Title"/>
    <w:next w:val="BodyText"/>
    <w:link w:val="SubtitleChar"/>
    <w:uiPriority w:val="11"/>
    <w:qFormat/>
    <w:rsid w:val="00A10FD9"/>
    <w:pPr>
      <w:numPr>
        <w:ilvl w:val="1"/>
      </w:numPr>
    </w:pPr>
    <w:rPr>
      <w:rFonts w:cstheme="majorBidi" w:eastAsiaTheme="majorEastAsia"/>
      <w:spacing w:val="15"/>
      <w:sz w:val="28"/>
      <w:szCs w:val="28"/>
    </w:rPr>
  </w:style>
  <w:style w:customStyle="1" w:styleId="SubtitleChar" w:type="character">
    <w:name w:val="Subtitle Char"/>
    <w:basedOn w:val="DefaultParagraphFont"/>
    <w:link w:val="Subtitle"/>
    <w:uiPriority w:val="11"/>
    <w:rsid w:val="00A10FD9"/>
    <w:rPr>
      <w:rFonts w:cstheme="majorBidi" w:eastAsiaTheme="majorEastAsia"/>
      <w:color w:themeColor="text1" w:themeTint="A6" w:val="595959"/>
      <w:spacing w:val="15"/>
      <w:sz w:val="28"/>
      <w:szCs w:val="28"/>
    </w:rPr>
  </w:style>
  <w:style w:customStyle="1" w:styleId="Author" w:type="paragraph">
    <w:name w:val="Author"/>
    <w:basedOn w:val="Title"/>
    <w:next w:val="BodyText"/>
    <w:qFormat/>
    <w:pPr>
      <w:keepNext/>
      <w:keepLines/>
    </w:pPr>
    <w:rPr>
      <w:sz w:val="24"/>
      <w:szCs w:val="24"/>
    </w:rPr>
  </w:style>
  <w:style w:styleId="Date" w:type="paragraph">
    <w:name w:val="Date"/>
    <w:basedOn w:val="Title"/>
    <w:next w:val="BodyText"/>
    <w:qFormat/>
    <w:pPr>
      <w:keepNext/>
      <w:keepLines/>
    </w:pPr>
    <w:rPr>
      <w:sz w:val="24"/>
      <w:szCs w:val="24"/>
    </w:rPr>
  </w:style>
  <w:style w:customStyle="1" w:styleId="AbstractTitle" w:type="paragraph">
    <w:name w:val="Abstract Title"/>
    <w:basedOn w:val="Normal"/>
    <w:next w:val="Abstract"/>
    <w:qFormat/>
    <w:pPr>
      <w:keepNext/>
      <w:keepLines/>
      <w:spacing w:after="0" w:before="300"/>
      <w:jc w:val="center"/>
    </w:pPr>
    <w:rPr>
      <w:b/>
      <w:sz w:val="20"/>
      <w:szCs w:val="20"/>
    </w:rPr>
  </w:style>
  <w:style w:customStyle="1" w:styleId="Abstract" w:type="paragraph">
    <w:name w:val="Abstract"/>
    <w:basedOn w:val="Normal"/>
    <w:next w:val="BodyText"/>
    <w:qFormat/>
    <w:pPr>
      <w:keepNext/>
      <w:keepLines/>
      <w:spacing w:after="300" w:before="100"/>
    </w:pPr>
    <w:rPr>
      <w:sz w:val="20"/>
      <w:szCs w:val="20"/>
    </w:rPr>
  </w:style>
  <w:style w:styleId="Bibliography" w:type="paragraph">
    <w:name w:val="Bibliography"/>
    <w:basedOn w:val="Normal"/>
    <w:next w:val="Bibliography"/>
    <w:qFormat/>
    <w:pPr/>
    <w:rPr/>
  </w:style>
  <w:style w:styleId="Heading1" w:type="paragraph">
    <w:name w:val="heading 1"/>
    <w:basedOn w:val="Normal"/>
    <w:next w:val="BodyText"/>
    <w:link w:val="Heading1Char"/>
    <w:uiPriority w:val="9"/>
    <w:qFormat/>
    <w:rsid w:val="00A10FD9"/>
    <w:pPr>
      <w:keepNext/>
      <w:keepLines/>
      <w:spacing w:after="80" w:before="360"/>
      <w:outlineLvl w:val="0"/>
    </w:pPr>
    <w:rPr>
      <w:rFonts w:asciiTheme="majorHAnsi" w:cstheme="majorBidi" w:eastAsiaTheme="majorEastAsia" w:hAnsiTheme="majorHAnsi"/>
      <w:color w:themeColor="accent1" w:themeShade="BF" w:val="0F4761"/>
      <w:sz w:val="40"/>
      <w:szCs w:val="40"/>
    </w:rPr>
  </w:style>
  <w:style w:styleId="Heading2" w:type="paragraph">
    <w:name w:val="heading 2"/>
    <w:basedOn w:val="Normal"/>
    <w:next w:val="BodyText"/>
    <w:link w:val="Heading2Char"/>
    <w:uiPriority w:val="9"/>
    <w:semiHidden/>
    <w:unhideWhenUsed/>
    <w:qFormat/>
    <w:rsid w:val="00A10FD9"/>
    <w:pPr>
      <w:keepNext/>
      <w:keepLines/>
      <w:spacing w:after="80" w:before="160"/>
      <w:outlineLvl w:val="1"/>
    </w:pPr>
    <w:rPr>
      <w:rFonts w:asciiTheme="majorHAnsi" w:cstheme="majorBidi" w:eastAsiaTheme="majorEastAsia" w:hAnsiTheme="majorHAnsi"/>
      <w:color w:themeColor="accent1" w:themeShade="BF" w:val="0F4761"/>
      <w:sz w:val="32"/>
      <w:szCs w:val="32"/>
    </w:rPr>
  </w:style>
  <w:style w:styleId="Heading3" w:type="paragraph">
    <w:name w:val="heading 3"/>
    <w:basedOn w:val="Normal"/>
    <w:next w:val="BodyText"/>
    <w:link w:val="Heading3Char"/>
    <w:uiPriority w:val="9"/>
    <w:semiHidden/>
    <w:unhideWhenUsed/>
    <w:qFormat/>
    <w:rsid w:val="00A10FD9"/>
    <w:pPr>
      <w:keepNext/>
      <w:keepLines/>
      <w:spacing w:after="80" w:before="160"/>
      <w:outlineLvl w:val="2"/>
    </w:pPr>
    <w:rPr>
      <w:rFonts w:cstheme="majorBidi" w:eastAsiaTheme="majorEastAsia"/>
      <w:color w:themeColor="accent1" w:themeShade="BF" w:val="0F4761"/>
      <w:sz w:val="28"/>
      <w:szCs w:val="28"/>
    </w:rPr>
  </w:style>
  <w:style w:styleId="Heading4" w:type="paragraph">
    <w:name w:val="heading 4"/>
    <w:basedOn w:val="Normal"/>
    <w:next w:val="BodyText"/>
    <w:link w:val="Heading4Char"/>
    <w:uiPriority w:val="9"/>
    <w:semiHidden/>
    <w:unhideWhenUsed/>
    <w:qFormat/>
    <w:rsid w:val="00A10FD9"/>
    <w:pPr>
      <w:keepNext/>
      <w:keepLines/>
      <w:spacing w:after="40" w:before="80"/>
      <w:outlineLvl w:val="3"/>
    </w:pPr>
    <w:rPr>
      <w:rFonts w:cstheme="majorBidi" w:eastAsiaTheme="majorEastAsia"/>
      <w:i/>
      <w:iCs/>
      <w:color w:themeColor="accent1" w:themeShade="BF" w:val="0F4761"/>
    </w:rPr>
  </w:style>
  <w:style w:styleId="Heading5" w:type="paragraph">
    <w:name w:val="heading 5"/>
    <w:basedOn w:val="Normal"/>
    <w:next w:val="BodyText"/>
    <w:link w:val="Heading5Char"/>
    <w:uiPriority w:val="9"/>
    <w:semiHidden/>
    <w:unhideWhenUsed/>
    <w:qFormat/>
    <w:rsid w:val="00A10FD9"/>
    <w:pPr>
      <w:keepNext/>
      <w:keepLines/>
      <w:spacing w:after="40" w:before="80"/>
      <w:outlineLvl w:val="4"/>
    </w:pPr>
    <w:rPr>
      <w:rFonts w:cstheme="majorBidi" w:eastAsiaTheme="majorEastAsia"/>
      <w:color w:themeColor="accent1" w:themeShade="BF" w:val="0F4761"/>
    </w:rPr>
  </w:style>
  <w:style w:styleId="Heading6" w:type="paragraph">
    <w:name w:val="heading 6"/>
    <w:basedOn w:val="Normal"/>
    <w:next w:val="BodyText"/>
    <w:link w:val="Heading6Char"/>
    <w:uiPriority w:val="9"/>
    <w:semiHidden/>
    <w:unhideWhenUsed/>
    <w:qFormat/>
    <w:rsid w:val="00A10FD9"/>
    <w:pPr>
      <w:keepNext/>
      <w:keepLines/>
      <w:spacing w:after="0" w:before="40"/>
      <w:outlineLvl w:val="5"/>
    </w:pPr>
    <w:rPr>
      <w:rFonts w:cstheme="majorBidi" w:eastAsiaTheme="majorEastAsia"/>
      <w:i/>
      <w:iCs/>
      <w:color w:themeColor="text1" w:themeTint="A6" w:val="595959"/>
    </w:rPr>
  </w:style>
  <w:style w:styleId="Heading7" w:type="paragraph">
    <w:name w:val="heading 7"/>
    <w:basedOn w:val="Normal"/>
    <w:next w:val="BodyText"/>
    <w:link w:val="Heading7Char"/>
    <w:uiPriority w:val="9"/>
    <w:semiHidden/>
    <w:unhideWhenUsed/>
    <w:qFormat/>
    <w:rsid w:val="00A10FD9"/>
    <w:pPr>
      <w:keepNext/>
      <w:keepLines/>
      <w:spacing w:after="0" w:before="40"/>
      <w:outlineLvl w:val="6"/>
    </w:pPr>
    <w:rPr>
      <w:rFonts w:cstheme="majorBidi" w:eastAsiaTheme="majorEastAsia"/>
      <w:color w:themeColor="text1" w:themeTint="A6" w:val="595959"/>
    </w:rPr>
  </w:style>
  <w:style w:styleId="Heading8" w:type="paragraph">
    <w:name w:val="heading 8"/>
    <w:basedOn w:val="Normal"/>
    <w:next w:val="BodyText"/>
    <w:link w:val="Heading8Char"/>
    <w:uiPriority w:val="9"/>
    <w:semiHidden/>
    <w:unhideWhenUsed/>
    <w:qFormat/>
    <w:rsid w:val="00A10FD9"/>
    <w:pPr>
      <w:keepNext/>
      <w:keepLines/>
      <w:spacing w:after="0"/>
      <w:outlineLvl w:val="7"/>
    </w:pPr>
    <w:rPr>
      <w:rFonts w:cstheme="majorBidi" w:eastAsiaTheme="majorEastAsia"/>
      <w:i/>
      <w:iCs/>
      <w:color w:themeColor="text1" w:themeTint="D8" w:val="272727"/>
    </w:rPr>
  </w:style>
  <w:style w:styleId="Heading9" w:type="paragraph">
    <w:name w:val="heading 9"/>
    <w:basedOn w:val="Normal"/>
    <w:next w:val="BodyText"/>
    <w:link w:val="Heading9Char"/>
    <w:uiPriority w:val="9"/>
    <w:semiHidden/>
    <w:unhideWhenUsed/>
    <w:qFormat/>
    <w:rsid w:val="00A10FD9"/>
    <w:pPr>
      <w:keepNext/>
      <w:keepLines/>
      <w:spacing w:after="0"/>
      <w:outlineLvl w:val="8"/>
    </w:pPr>
    <w:rPr>
      <w:rFonts w:cstheme="majorBidi" w:eastAsiaTheme="majorEastAsia"/>
      <w:color w:themeColor="text1" w:themeTint="D8" w:val="272727"/>
    </w:rPr>
  </w:style>
  <w:style w:customStyle="1" w:styleId="Heading1Char" w:type="character">
    <w:name w:val="Heading 1 Char"/>
    <w:basedOn w:val="DefaultParagraphFont"/>
    <w:link w:val="Heading1"/>
    <w:uiPriority w:val="9"/>
    <w:rsid w:val="00A10FD9"/>
    <w:rPr>
      <w:rFonts w:asciiTheme="majorHAnsi" w:cstheme="majorBidi" w:eastAsiaTheme="majorEastAsia" w:hAnsiTheme="majorHAnsi"/>
      <w:color w:themeColor="accent1" w:themeShade="BF" w:val="0F4761"/>
      <w:sz w:val="40"/>
      <w:szCs w:val="40"/>
    </w:rPr>
  </w:style>
  <w:style w:customStyle="1" w:styleId="Heading2Char" w:type="character">
    <w:name w:val="Heading 2 Char"/>
    <w:basedOn w:val="DefaultParagraphFont"/>
    <w:link w:val="Heading2"/>
    <w:uiPriority w:val="9"/>
    <w:semiHidden/>
    <w:rsid w:val="00A10FD9"/>
    <w:rPr>
      <w:rFonts w:asciiTheme="majorHAnsi" w:cstheme="majorBidi" w:eastAsiaTheme="majorEastAsia" w:hAnsiTheme="majorHAnsi"/>
      <w:color w:themeColor="accent1" w:themeShade="BF" w:val="0F4761"/>
      <w:sz w:val="32"/>
      <w:szCs w:val="32"/>
    </w:rPr>
  </w:style>
  <w:style w:customStyle="1" w:styleId="Heading3Char" w:type="character">
    <w:name w:val="Heading 3 Char"/>
    <w:basedOn w:val="DefaultParagraphFont"/>
    <w:link w:val="Heading3"/>
    <w:uiPriority w:val="9"/>
    <w:semiHidden/>
    <w:rsid w:val="00A10FD9"/>
    <w:rPr>
      <w:rFonts w:cstheme="majorBidi" w:eastAsiaTheme="majorEastAsia"/>
      <w:color w:themeColor="accent1" w:themeShade="BF" w:val="0F4761"/>
      <w:sz w:val="28"/>
      <w:szCs w:val="28"/>
    </w:rPr>
  </w:style>
  <w:style w:customStyle="1" w:styleId="Heading4Char" w:type="character">
    <w:name w:val="Heading 4 Char"/>
    <w:basedOn w:val="DefaultParagraphFont"/>
    <w:link w:val="Heading4"/>
    <w:uiPriority w:val="9"/>
    <w:semiHidden/>
    <w:rsid w:val="00A10FD9"/>
    <w:rPr>
      <w:rFonts w:cstheme="majorBidi" w:eastAsiaTheme="majorEastAsia"/>
      <w:i/>
      <w:iCs/>
      <w:color w:themeColor="accent1" w:themeShade="BF" w:val="0F4761"/>
    </w:rPr>
  </w:style>
  <w:style w:customStyle="1" w:styleId="Heading5Char" w:type="character">
    <w:name w:val="Heading 5 Char"/>
    <w:basedOn w:val="DefaultParagraphFont"/>
    <w:link w:val="Heading5"/>
    <w:uiPriority w:val="9"/>
    <w:semiHidden/>
    <w:rsid w:val="00A10FD9"/>
    <w:rPr>
      <w:rFonts w:cstheme="majorBidi" w:eastAsiaTheme="majorEastAsia"/>
      <w:color w:themeColor="accent1" w:themeShade="BF" w:val="0F4761"/>
    </w:rPr>
  </w:style>
  <w:style w:customStyle="1" w:styleId="Heading6Char" w:type="character">
    <w:name w:val="Heading 6 Char"/>
    <w:basedOn w:val="DefaultParagraphFont"/>
    <w:link w:val="Heading6"/>
    <w:uiPriority w:val="9"/>
    <w:semiHidden/>
    <w:rsid w:val="00A10FD9"/>
    <w:rPr>
      <w:rFonts w:cstheme="majorBidi" w:eastAsiaTheme="majorEastAsia"/>
      <w:i/>
      <w:iCs/>
      <w:color w:themeColor="text1" w:themeTint="A6" w:val="595959"/>
    </w:rPr>
  </w:style>
  <w:style w:customStyle="1" w:styleId="Heading7Char" w:type="character">
    <w:name w:val="Heading 7 Char"/>
    <w:basedOn w:val="DefaultParagraphFont"/>
    <w:link w:val="Heading7"/>
    <w:uiPriority w:val="9"/>
    <w:semiHidden/>
    <w:rsid w:val="00A10FD9"/>
    <w:rPr>
      <w:rFonts w:cstheme="majorBidi" w:eastAsiaTheme="majorEastAsia"/>
      <w:color w:themeColor="text1" w:themeTint="A6" w:val="595959"/>
    </w:rPr>
  </w:style>
  <w:style w:customStyle="1" w:styleId="Heading8Char" w:type="character">
    <w:name w:val="Heading 8 Char"/>
    <w:basedOn w:val="DefaultParagraphFont"/>
    <w:link w:val="Heading8"/>
    <w:uiPriority w:val="9"/>
    <w:semiHidden/>
    <w:rsid w:val="00A10FD9"/>
    <w:rPr>
      <w:rFonts w:cstheme="majorBidi" w:eastAsiaTheme="majorEastAsia"/>
      <w:i/>
      <w:iCs/>
      <w:color w:themeColor="text1" w:themeTint="D8" w:val="272727"/>
    </w:rPr>
  </w:style>
  <w:style w:customStyle="1" w:styleId="Heading9Char" w:type="character">
    <w:name w:val="Heading 9 Char"/>
    <w:basedOn w:val="DefaultParagraphFont"/>
    <w:link w:val="Heading9"/>
    <w:uiPriority w:val="9"/>
    <w:semiHidden/>
    <w:rsid w:val="00A10FD9"/>
    <w:rPr>
      <w:rFonts w:cstheme="majorBidi" w:eastAsiaTheme="majorEastAsia"/>
      <w:color w:themeColor="text1" w:themeTint="D8" w:val="272727"/>
    </w:rPr>
  </w:style>
  <w:style w:styleId="BlockText" w:type="paragraph">
    <w:name w:val="Block Text"/>
    <w:basedOn w:val="BodyText"/>
    <w:next w:val="BodyText"/>
    <w:uiPriority w:val="9"/>
    <w:unhideWhenUsed/>
    <w:qFormat/>
    <w:pPr>
      <w:spacing w:after="100" w:before="100"/>
      <w:ind w:firstLine="0" w:left="480" w:right="480"/>
    </w:pPr>
  </w:style>
  <w:style w:styleId="FootnoteText" w:type="paragraph">
    <w:name w:val="Footnote Text"/>
    <w:basedOn w:val="Normal"/>
    <w:next w:val="FootnoteText"/>
    <w:uiPriority w:val="9"/>
    <w:unhideWhenUsed/>
    <w:qFormat/>
  </w:style>
  <w:style w:styleId="FootnoteBlockText" w:type="paragraph">
    <w:name w:val="Footnote Block Text"/>
    <w:basedOn w:val="FootnoteText"/>
    <w:next w:val="FootnoteText"/>
    <w:uiPriority w:val="9"/>
    <w:unhideWhenUsed/>
    <w:qFormat/>
    <w:pPr>
      <w:spacing w:after="100" w:before="100"/>
      <w:ind w:firstLine="0" w:left="480" w:right="480"/>
    </w:pPr>
  </w:style>
  <w:style w:default="1" w:styleId="DefaultParagraphFont" w:type="character">
    <w:name w:val="Default Paragraph Font"/>
    <w:semiHidden/>
    <w:unhideWhenUsed/>
  </w:style>
  <w:style w:default="1" w:styleId="Table" w:type="table">
    <w:name w:val="Table"/>
    <w:basedOn w:val="TableNormal"/>
    <w:semiHidden/>
    <w:unhideWhenUsed/>
    <w:qFormat/>
    <w:tblPr>
      <w:tblInd w:type="dxa" w:w="0"/>
      <w:tblCellMar>
        <w:top w:type="dxa" w:w="0"/>
        <w:left w:type="dxa" w:w="108"/>
        <w:bottom w:type="dxa" w:w="0"/>
        <w:right w:type="dxa" w:w="108"/>
      </w:tblCellMar>
    </w:tblPr>
    <w:tblStylePr w:type="firstRow">
      <w:tcPr>
        <w:tcBorders>
          <w:bottom w:val="single"/>
        </w:tcBorders>
        <w:vAlign w:val="bottom"/>
      </w:tcPr>
    </w:tblStylePr>
  </w:style>
  <w:style w:customStyle="1" w:styleId="DefinitionTerm" w:type="paragraph">
    <w:name w:val="Definition Term"/>
    <w:basedOn w:val="Normal"/>
    <w:next w:val="Definition"/>
    <w:pPr>
      <w:keepNext/>
      <w:keepLines/>
      <w:spacing w:after="0"/>
    </w:pPr>
    <w:rPr>
      <w:b/>
    </w:rPr>
  </w:style>
  <w:style w:customStyle="1" w:styleId="Definition" w:type="paragraph">
    <w:name w:val="Definition"/>
    <w:basedOn w:val="Normal"/>
  </w:style>
  <w:style w:styleId="Caption" w:type="paragraph">
    <w:name w:val="Caption"/>
    <w:basedOn w:val="Normal"/>
    <w:link w:val="BodyTextChar"/>
    <w:pPr>
      <w:spacing w:after="120" w:before="0"/>
    </w:pPr>
    <w:rPr>
      <w:i/>
    </w:rPr>
  </w:style>
  <w:style w:customStyle="1" w:styleId="TableCaption" w:type="paragraph">
    <w:name w:val="Table Caption"/>
    <w:basedOn w:val="Caption"/>
    <w:pPr>
      <w:keepNext/>
    </w:pPr>
  </w:style>
  <w:style w:customStyle="1" w:styleId="ImageCaption" w:type="paragraph">
    <w:name w:val="Image Caption"/>
    <w:basedOn w:val="Caption"/>
  </w:style>
  <w:style w:customStyle="1" w:styleId="Figure" w:type="paragraph">
    <w:name w:val="Figure"/>
    <w:basedOn w:val="Normal"/>
  </w:style>
  <w:style w:customStyle="1" w:styleId="CaptionedFigure" w:type="paragraph">
    <w:name w:val="Captioned Figure"/>
    <w:basedOn w:val="Figure"/>
    <w:pPr>
      <w:keepNext/>
    </w:pPr>
  </w:style>
  <w:style w:customStyle="1" w:styleId="BodyTextChar" w:type="character">
    <w:name w:val="Body Text Char"/>
    <w:basedOn w:val="DefaultParagraphFont"/>
    <w:link w:val="BodyText"/>
  </w:style>
  <w:style w:customStyle="1" w:styleId="VerbatimChar" w:type="character">
    <w:name w:val="Verbatim Char"/>
    <w:basedOn w:val="BodyTextChar"/>
    <w:rPr>
      <w:rFonts w:ascii="Consolas" w:hAnsi="Consolas"/>
      <w:sz w:val="22"/>
    </w:rPr>
  </w:style>
  <w:style w:customStyle="1" w:styleId="SectionNumber" w:type="character">
    <w:name w:val="Section Number"/>
    <w:basedOn w:val="BodyTextChar"/>
  </w:style>
  <w:style w:styleId="FootnoteReference" w:type="character">
    <w:name w:val="Footnote Reference"/>
    <w:basedOn w:val="BodyTextChar"/>
    <w:rPr>
      <w:vertAlign w:val="superscript"/>
    </w:rPr>
  </w:style>
  <w:style w:styleId="Hyperlink" w:type="character">
    <w:name w:val="Hyperlink"/>
    <w:basedOn w:val="BodyTextChar"/>
    <w:rPr>
      <w:color w:themeColor="accent1" w:val="4F81BD"/>
    </w:rPr>
  </w:style>
  <w:style w:styleId="TOCHeading" w:type="paragraph">
    <w:name w:val="TOC Heading"/>
    <w:basedOn w:val="Heading1"/>
    <w:next w:val="BodyText"/>
    <w:uiPriority w:val="39"/>
    <w:unhideWhenUsed/>
    <w:qFormat/>
    <w:pPr>
      <w:spacing w:before="240" w:line="259" w:lineRule="auto"/>
      <w:outlineLvl w:val="9"/>
    </w:pPr>
    <w:rPr>
      <w:rFonts w:asciiTheme="majorHAnsi" w:cstheme="majorBidi" w:eastAsiaTheme="majorEastAsia" w:hAnsiTheme="majorHAnsi"/>
      <w:b w:val="0"/>
      <w:bCs w:val="0"/>
      <w:color w:themeColor="accent1" w:themeShade="BF" w:val="365F91"/>
    </w:rPr>
  </w:style>
  <w:style w:type="paragraph" w:customStyle="1" w:styleId="SourceCode">
    <w:name w:val="Source Code"/>
    <w:basedOn w:val="Normal"/>
    <w:link w:val="VerbatimChar"/>
    <w:pPr>
      <w:wordWrap w:val="off"/>
    </w:pPr>
  </w:style>
  <w:style w:type="character" w:customStyle="1" w:styleId="KeywordTok">
    <w:name w:val="KeywordTok"/>
    <w:basedOn w:val="VerbatimChar"/>
    <w:rPr>
      <w:b/>
      <w:color w:val="007020"/>
    </w:rPr>
  </w:style>
  <w:style w:type="character" w:customStyle="1" w:styleId="DataTypeTok">
    <w:name w:val="DataTypeTok"/>
    <w:basedOn w:val="VerbatimChar"/>
    <w:rPr>
      <w:color w:val="902000"/>
    </w:rPr>
  </w:style>
  <w:style w:type="character" w:customStyle="1" w:styleId="DecValTok">
    <w:name w:val="DecValTok"/>
    <w:basedOn w:val="VerbatimChar"/>
    <w:rPr>
      <w:color w:val="40a070"/>
    </w:rPr>
  </w:style>
  <w:style w:type="character" w:customStyle="1" w:styleId="BaseNTok">
    <w:name w:val="BaseNTok"/>
    <w:basedOn w:val="VerbatimChar"/>
    <w:rPr>
      <w:color w:val="40a070"/>
    </w:rPr>
  </w:style>
  <w:style w:type="character" w:customStyle="1" w:styleId="FloatTok">
    <w:name w:val="FloatTok"/>
    <w:basedOn w:val="VerbatimChar"/>
    <w:rPr>
      <w:color w:val="40a070"/>
    </w:rPr>
  </w:style>
  <w:style w:type="character" w:customStyle="1" w:styleId="ConstantTok">
    <w:name w:val="ConstantTok"/>
    <w:basedOn w:val="VerbatimChar"/>
    <w:rPr>
      <w:color w:val="880000"/>
    </w:rPr>
  </w:style>
  <w:style w:type="character" w:customStyle="1" w:styleId="CharTok">
    <w:name w:val="CharTok"/>
    <w:basedOn w:val="VerbatimChar"/>
    <w:rPr>
      <w:color w:val="4070a0"/>
    </w:rPr>
  </w:style>
  <w:style w:type="character" w:customStyle="1" w:styleId="SpecialCharTok">
    <w:name w:val="SpecialCharTok"/>
    <w:basedOn w:val="VerbatimChar"/>
    <w:rPr>
      <w:color w:val="4070a0"/>
    </w:rPr>
  </w:style>
  <w:style w:type="character" w:customStyle="1" w:styleId="StringTok">
    <w:name w:val="StringTok"/>
    <w:basedOn w:val="VerbatimChar"/>
    <w:rPr>
      <w:color w:val="4070a0"/>
    </w:rPr>
  </w:style>
  <w:style w:type="character" w:customStyle="1" w:styleId="VerbatimStringTok">
    <w:name w:val="VerbatimStringTok"/>
    <w:basedOn w:val="VerbatimChar"/>
    <w:rPr>
      <w:color w:val="4070a0"/>
    </w:rPr>
  </w:style>
  <w:style w:type="character" w:customStyle="1" w:styleId="SpecialStringTok">
    <w:name w:val="SpecialStringTok"/>
    <w:basedOn w:val="VerbatimChar"/>
    <w:rPr>
      <w:color w:val="bb6688"/>
    </w:rPr>
  </w:style>
  <w:style w:type="character" w:customStyle="1" w:styleId="ImportTok">
    <w:name w:val="ImportTok"/>
    <w:basedOn w:val="VerbatimChar"/>
    <w:rPr>
      <w:b/>
      <w:color w:val="008000"/>
    </w:rPr>
  </w:style>
  <w:style w:type="character" w:customStyle="1" w:styleId="CommentTok">
    <w:name w:val="CommentTok"/>
    <w:basedOn w:val="VerbatimChar"/>
    <w:rPr>
      <w:i/>
      <w:color w:val="60a0b0"/>
    </w:rPr>
  </w:style>
  <w:style w:type="character" w:customStyle="1" w:styleId="DocumentationTok">
    <w:name w:val="DocumentationTok"/>
    <w:basedOn w:val="VerbatimChar"/>
    <w:rPr>
      <w:i/>
      <w:color w:val="ba2121"/>
    </w:rPr>
  </w:style>
  <w:style w:type="character" w:customStyle="1" w:styleId="AnnotationTok">
    <w:name w:val="AnnotationTok"/>
    <w:basedOn w:val="VerbatimChar"/>
    <w:rPr>
      <w:b/>
      <w:i/>
      <w:color w:val="60a0b0"/>
    </w:rPr>
  </w:style>
  <w:style w:type="character" w:customStyle="1" w:styleId="CommentVarTok">
    <w:name w:val="CommentVarTok"/>
    <w:basedOn w:val="VerbatimChar"/>
    <w:rPr>
      <w:b/>
      <w:i/>
      <w:color w:val="60a0b0"/>
    </w:rPr>
  </w:style>
  <w:style w:type="character" w:customStyle="1" w:styleId="OtherTok">
    <w:name w:val="OtherTok"/>
    <w:basedOn w:val="VerbatimChar"/>
    <w:rPr>
      <w:color w:val="007020"/>
    </w:rPr>
  </w:style>
  <w:style w:type="character" w:customStyle="1" w:styleId="FunctionTok">
    <w:name w:val="FunctionTok"/>
    <w:basedOn w:val="VerbatimChar"/>
    <w:rPr>
      <w:color w:val="06287e"/>
    </w:rPr>
  </w:style>
  <w:style w:type="character" w:customStyle="1" w:styleId="VariableTok">
    <w:name w:val="VariableTok"/>
    <w:basedOn w:val="VerbatimChar"/>
    <w:rPr>
      <w:color w:val="19177c"/>
    </w:rPr>
  </w:style>
  <w:style w:type="character" w:customStyle="1" w:styleId="ControlFlowTok">
    <w:name w:val="ControlFlowTok"/>
    <w:basedOn w:val="VerbatimChar"/>
    <w:rPr>
      <w:b/>
      <w:color w:val="007020"/>
    </w:rPr>
  </w:style>
  <w:style w:type="character" w:customStyle="1" w:styleId="OperatorTok">
    <w:name w:val="OperatorTok"/>
    <w:basedOn w:val="VerbatimChar"/>
    <w:rPr>
      <w:color w:val="666666"/>
    </w:rPr>
  </w:style>
  <w:style w:type="character" w:customStyle="1" w:styleId="BuiltInTok">
    <w:name w:val="BuiltInTok"/>
    <w:basedOn w:val="VerbatimChar"/>
    <w:rPr>
      <w:color w:val="008000"/>
    </w:rPr>
  </w:style>
  <w:style w:type="character" w:customStyle="1" w:styleId="ExtensionTok">
    <w:name w:val="ExtensionTok"/>
    <w:basedOn w:val="VerbatimChar"/>
    <w:rPr/>
  </w:style>
  <w:style w:type="character" w:customStyle="1" w:styleId="PreprocessorTok">
    <w:name w:val="PreprocessorTok"/>
    <w:basedOn w:val="VerbatimChar"/>
    <w:rPr>
      <w:color w:val="bc7a00"/>
    </w:rPr>
  </w:style>
  <w:style w:type="character" w:customStyle="1" w:styleId="AttributeTok">
    <w:name w:val="AttributeTok"/>
    <w:basedOn w:val="VerbatimChar"/>
    <w:rPr>
      <w:color w:val="7d9029"/>
    </w:rPr>
  </w:style>
  <w:style w:type="character" w:customStyle="1" w:styleId="RegionMarkerTok">
    <w:name w:val="RegionMarkerTok"/>
    <w:basedOn w:val="VerbatimChar"/>
    <w:rPr/>
  </w:style>
  <w:style w:type="character" w:customStyle="1" w:styleId="InformationTok">
    <w:name w:val="InformationTok"/>
    <w:basedOn w:val="VerbatimChar"/>
    <w:rPr>
      <w:b/>
      <w:i/>
      <w:color w:val="60a0b0"/>
    </w:rPr>
  </w:style>
  <w:style w:type="character" w:customStyle="1" w:styleId="WarningTok">
    <w:name w:val="WarningTok"/>
    <w:basedOn w:val="VerbatimChar"/>
    <w:rPr>
      <w:b/>
      <w:i/>
      <w:color w:val="60a0b0"/>
    </w:rPr>
  </w:style>
  <w:style w:type="character" w:customStyle="1" w:styleId="AlertTok">
    <w:name w:val="AlertTok"/>
    <w:basedOn w:val="VerbatimChar"/>
    <w:rPr>
      <w:b/>
      <w:color w:val="ff0000"/>
    </w:rPr>
  </w:style>
  <w:style w:type="character" w:customStyle="1" w:styleId="ErrorTok">
    <w:name w:val="ErrorTok"/>
    <w:basedOn w:val="VerbatimChar"/>
    <w:rPr>
      <w:b/>
      <w:color w:val="ff0000"/>
    </w:rPr>
  </w:style>
  <w:style w:type="character" w:customStyle="1" w:styleId="NormalTok">
    <w:name w:val="NormalTok"/>
    <w:basedOn w:val="VerbatimChar"/>
    <w:rPr/>
  </w:style>
</w:styles>
</file>

<file path=word/webSettings.xml><?xml version="1.0" encoding="utf-8"?>
<ns0:webSettings xmlns:ns0="http://schemas.openxmlformats.org/wordprocessingml/2006/main">
  <ns0:allowPNG/>
  <ns0:doNotSaveAsSingleFile/>
</ns0:webSettings>
</file>

<file path=word/_rels/document.xml.rels><?xml version="1.0" encoding="UTF-8"?><Relationships xmlns="http://schemas.openxmlformats.org/package/2006/relationships"><Relationship Type="http://schemas.openxmlformats.org/officeDocument/2006/relationships/numbering" Id="rId8" Target="numbering.xml" /><Relationship Type="http://schemas.openxmlformats.org/officeDocument/2006/relationships/styles" Id="rId7" Target="styles.xml" /><Relationship Type="http://schemas.openxmlformats.org/officeDocument/2006/relationships/settings" Id="rId6" Target="settings.xml" /><Relationship Type="http://schemas.openxmlformats.org/officeDocument/2006/relationships/webSettings" Id="rId5" Target="webSettings.xml" /><Relationship Type="http://schemas.openxmlformats.org/officeDocument/2006/relationships/fontTable" Id="rId4" Target="fontTable.xml" /><Relationship Type="http://schemas.openxmlformats.org/officeDocument/2006/relationships/theme" Id="rId3" Target="theme/theme1.xml" /><Relationship Type="http://schemas.openxmlformats.org/officeDocument/2006/relationships/footnotes" Id="rId2" Target="footnotes.xml" /><Relationship Type="http://schemas.openxmlformats.org/officeDocument/2006/relationships/comments" Id="rId1" Target="comments.xml" /></Relationships>
</file>

<file path=word/_rels/footnotes.xml.rels><?xml version="1.0" encoding="UTF-8"?><Relationships xmlns="http://schemas.openxmlformats.org/package/2006/relationships" />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Words>83</Words>
  <SharedDoc>false</SharedDoc>
  <HyperlinksChanged>false</HyperlinksChanged>
  <Lines>12</Lines>
  <AppVersion>12.0000</AppVersion>
  <LinksUpToDate>false</LinksUpToDate>
  <Application>Microsoft Word 12.0.0</Application>
  <CharactersWithSpaces>583</CharactersWithSpaces>
  <Template>Normal.dotm</Template>
  <DocSecurity>0</DocSecurity>
  <TotalTime>6</TotalTime>
  <ScaleCrop>false</ScaleCrop>
  <Characters>475</Characters>
  <Paragraphs>8</Paragraphs>
  <Pages>1</Pag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dcterms:created xsi:type="dcterms:W3CDTF">2026-07-29T20:04:48Z</dcterms:created>
  <dcterms:modified xsi:type="dcterms:W3CDTF">2026-07-29T20:04:48Z</dcterms:modified>
</cp:coreProperties>
</file>

<file path=docProps/custom.xml><?xml version="1.0" encoding="utf-8"?>
<Properties xmlns="http://schemas.openxmlformats.org/officeDocument/2006/custom-properties" xmlns:vt="http://schemas.openxmlformats.org/officeDocument/2006/docPropsVTypes"/>
</file>