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wy-earnings-predictions--2026-07-30"/>
    <w:p>
      <w:pPr>
        <w:pStyle w:val="Heading1"/>
      </w:pPr>
      <w:r>
        <w:t xml:space="preserve">WY Earnings Predictions — 2026-07-30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EPS (Q2 2026)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~$0.10 vs. cons $0.08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EBITDA (Q2 2026, total company)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~$360M vs. cons $330M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Wood Products Segment Adjusted EBITDA (Q2 2026)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~$120M vs. cons $95M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Q3 2026 Wood Products/Lumber pricing outlook (commentary)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~$125M Wood Products EBITDA vs. cons $105M (Q3 2026)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FY2026 Strategic Land Solutions EBITDA guidance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~$425M vs. cons $425M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Net Debt/EBITDA leverage trajectory commentary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~3.8x vs. cons 3.9x (FY2026 exit)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+1.5%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+0.4% (FADE)</w:t>
            </w:r>
          </w:p>
        </w:tc>
        <w:tc>
          <w:tcPr/>
          <w:p>
            <w:pPr>
              <w:pStyle w:val="Compact"/>
            </w:pPr>
            <w:r>
              <w:t xml:space="preserve">Most of the positive Wood Products pricing surprise was already telegraphed via the June 25 pre-announcement, capping the initial pop; as analysts roll forward, they'll likely note that spot OSB/lumber pricing had already faded back toward flat by mid-quarter and housing/mortgage-rate backdrop remains soft, prompting out-quarter (Q3/FY) estimate trims even after a Q2 beat, causing the initial reaction to fade over the following days.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2026-07-30T00:06:42Z</dcterms:created>
  <dcterms:modified xsi:type="dcterms:W3CDTF">2026-07-30T00:06:42Z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