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y-earnings-predictions--2026-07-30"/>
    <w:p>
      <w:pPr>
        <w:pStyle w:val="Heading1"/>
      </w:pPr>
      <w:r>
        <w:t xml:space="preserve">WY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~$0.10 vs. cons $0.09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Consolidated 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~$297M vs. cons $292M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Wood Products 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~$124M vs. cons $120M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Wood Products Adjusted EBITDA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~$128M vs. cons $115M (Q3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Strategic Land Solutions Adjusted EBITDA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~$425M vs. cons $425M (FY 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Timberlands Adjusted EBITDA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~$105M vs. cons $110M (Q3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+2.7%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+4.1% (FOLLOW-THROUGH)</w:t>
            </w:r>
          </w:p>
        </w:tc>
        <w:tc>
          <w:tcPr/>
          <w:p>
            <w:pPr>
              <w:pStyle w:val="Compact"/>
            </w:pPr>
            <w:r>
              <w:t xml:space="preserve">A modest Q2 beat plus implied Q3 Wood Products EBITDA of ~</w:t>
            </w:r>
            <m:oMath>
              <m:r>
                <m:t>128</m:t>
              </m:r>
              <m:r>
                <m:t>M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115M consensus should lift out-period estimates; lower Timberlands guidance partly offsets but does not erase the positive revision math.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2026-07-29T20:05:13Z</dcterms:created>
  <dcterms:modified xsi:type="dcterms:W3CDTF">2026-07-29T20:05:13Z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