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7" w:name="weyerhaeuser-q2-2026-earnings-preview"/>
    <w:p>
      <w:pPr>
        <w:pStyle w:val="Heading1"/>
      </w:pPr>
      <w:r>
        <w:t xml:space="preserve">Weyerhaeuser Q2 2026 Earnings Preview</w:t>
      </w:r>
    </w:p>
    <w:p>
      <w:pPr>
        <w:pStyle w:val="BlockText"/>
      </w:pPr>
      <w:r>
        <w:rPr>
          <w:b/>
          <w:bCs/>
        </w:rPr>
        <w:t xml:space="preserve">Timing clarification:</w:t>
      </w:r>
      <w:r>
        <w:t xml:space="preserve"> </w:t>
      </w:r>
      <w:r>
        <w:t xml:space="preserve">Weyerhaeuser will release results</w:t>
      </w:r>
      <w:r>
        <w:t xml:space="preserve"> </w:t>
      </w:r>
      <w:r>
        <w:rPr>
          <w:b/>
          <w:bCs/>
        </w:rPr>
        <w:t xml:space="preserve">after the market closes on Thursday, July 30, 2026</w:t>
      </w:r>
      <w:r>
        <w:t xml:space="preserve">. The earnings call is</w:t>
      </w:r>
      <w:r>
        <w:t xml:space="preserve"> </w:t>
      </w:r>
      <w:r>
        <w:rPr>
          <w:b/>
          <w:bCs/>
        </w:rPr>
        <w:t xml:space="preserve">Friday, July 31, at 10:00 a.m. Eastern</w:t>
      </w:r>
      <w:r>
        <w:t xml:space="preserve">. (</w:t>
      </w:r>
      <w:hyperlink r:id="rId9">
        <w:r>
          <w:rPr>
            <w:rStyle w:val="Hyperlink"/>
          </w:rPr>
          <w:t xml:space="preserve">investor.weyerhaeuser.com</w:t>
        </w:r>
      </w:hyperlink>
      <w:r>
        <w:t xml:space="preserve">)</w:t>
      </w:r>
    </w:p>
    <w:bookmarkStart w:id="10" w:name="investment-setup"/>
    <w:p>
      <w:pPr>
        <w:pStyle w:val="Heading2"/>
      </w:pPr>
      <w:r>
        <w:t xml:space="preserve">Investment setup</w:t>
      </w:r>
    </w:p>
    <w:p>
      <w:pPr>
        <w:pStyle w:val="FirstParagraph"/>
      </w:pPr>
      <w:r>
        <w:t xml:space="preserve">This quarter is less about whether stronger lumber prices lifted earnings—they almost certainly did—and more about</w:t>
      </w:r>
      <w:r>
        <w:t xml:space="preserve"> </w:t>
      </w:r>
      <w:r>
        <w:rPr>
          <w:b/>
          <w:bCs/>
        </w:rPr>
        <w:t xml:space="preserve">how much of that benefit survived lower production, transportation constraints and higher manufacturing costs</w:t>
      </w:r>
      <w:r>
        <w:t xml:space="preserve">.</w:t>
      </w:r>
    </w:p>
    <w:p>
      <w:pPr>
        <w:pStyle w:val="BodyText"/>
      </w:pPr>
      <w:r>
        <w:t xml:space="preserve">Weyerhaeuser already reduced its Wood Products outlook on June 25, so expectations should be relatively contained. The most important variables will be:</w:t>
      </w:r>
    </w:p>
    <w:p>
      <w:pPr>
        <w:pStyle w:val="Compact"/>
        <w:numPr>
          <w:ilvl w:val="0"/>
          <w:numId w:val="1001"/>
        </w:numPr>
      </w:pPr>
      <w:r>
        <w:t xml:space="preserve">The magnitude and durability of the lumber-price benefit.</w:t>
      </w:r>
    </w:p>
    <w:p>
      <w:pPr>
        <w:pStyle w:val="Compact"/>
        <w:numPr>
          <w:ilvl w:val="0"/>
          <w:numId w:val="1001"/>
        </w:numPr>
      </w:pPr>
      <w:r>
        <w:t xml:space="preserve">Whether transportation and operating problems were temporary.</w:t>
      </w:r>
    </w:p>
    <w:p>
      <w:pPr>
        <w:pStyle w:val="Compact"/>
        <w:numPr>
          <w:ilvl w:val="0"/>
          <w:numId w:val="1001"/>
        </w:numPr>
      </w:pPr>
      <w:r>
        <w:t xml:space="preserve">Management’s outlook for lumber, OSB and housing demand in the second half.</w:t>
      </w:r>
    </w:p>
    <w:p>
      <w:pPr>
        <w:pStyle w:val="Compact"/>
        <w:numPr>
          <w:ilvl w:val="0"/>
          <w:numId w:val="1001"/>
        </w:numPr>
      </w:pPr>
      <w:r>
        <w:t xml:space="preserve">Whether full-year Strategic Land Solutions guidance remains intact.</w:t>
      </w:r>
    </w:p>
    <w:p>
      <w:pPr>
        <w:pStyle w:val="Compact"/>
        <w:numPr>
          <w:ilvl w:val="0"/>
          <w:numId w:val="1001"/>
        </w:numPr>
      </w:pPr>
      <w:r>
        <w:t xml:space="preserve">Cash generation and capital allocation while leverage is above management’s through-cycle target.</w:t>
      </w:r>
    </w:p>
    <w:bookmarkEnd w:id="10"/>
    <w:bookmarkStart w:id="13" w:name="numbers-to-frame-the-report"/>
    <w:p>
      <w:pPr>
        <w:pStyle w:val="Heading2"/>
      </w:pPr>
      <w:r>
        <w:t xml:space="preserve">Numbers to frame the report</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Metric</w:t>
            </w:r>
          </w:p>
        </w:tc>
        <w:tc>
          <w:tcPr/>
          <w:p>
            <w:pPr>
              <w:pStyle w:val="Compact"/>
              <w:jc w:val="right"/>
            </w:pPr>
            <w:r>
              <w:t xml:space="preserve">Q1 2026</w:t>
            </w:r>
          </w:p>
        </w:tc>
        <w:tc>
          <w:tcPr/>
          <w:p>
            <w:pPr>
              <w:pStyle w:val="Compact"/>
              <w:jc w:val="right"/>
            </w:pPr>
            <w:r>
              <w:t xml:space="preserve">Q2 investor framing</w:t>
            </w:r>
          </w:p>
        </w:tc>
      </w:tr>
      <w:tr>
        <w:tc>
          <w:tcPr/>
          <w:p>
            <w:pPr>
              <w:pStyle w:val="Compact"/>
            </w:pPr>
            <w:r>
              <w:t xml:space="preserve">Adjusted EPS</w:t>
            </w:r>
          </w:p>
        </w:tc>
        <w:tc>
          <w:tcPr/>
          <w:p>
            <w:pPr>
              <w:pStyle w:val="Compact"/>
              <w:jc w:val="right"/>
            </w:pPr>
            <w:r>
              <w:t xml:space="preserve">$0.11</w:t>
            </w:r>
          </w:p>
        </w:tc>
        <w:tc>
          <w:tcPr/>
          <w:p>
            <w:pPr>
              <w:pStyle w:val="Compact"/>
              <w:jc w:val="right"/>
            </w:pPr>
            <w:r>
              <w:t xml:space="preserve">Street estimates center around</w:t>
            </w:r>
            <w:r>
              <w:t xml:space="preserve"> </w:t>
            </w:r>
            <w:r>
              <w:rPr>
                <w:b/>
                <w:bCs/>
              </w:rPr>
              <w:t xml:space="preserve">$0.08</w:t>
            </w:r>
            <w:r>
              <w:t xml:space="preserve">, with a roughly</w:t>
            </w:r>
            <w:r>
              <w:t xml:space="preserve"> </w:t>
            </w:r>
            <m:oMath>
              <m:r>
                <m:t>0.06</m:t>
              </m:r>
              <m:r>
                <m:rPr>
                  <m:sty m:val="p"/>
                </m:rPr>
                <m:t>–</m:t>
              </m:r>
            </m:oMath>
            <w:r>
              <w:t xml:space="preserve">0.12 range</w:t>
            </w:r>
          </w:p>
        </w:tc>
      </w:tr>
      <w:tr>
        <w:tc>
          <w:tcPr/>
          <w:p>
            <w:pPr>
              <w:pStyle w:val="Compact"/>
            </w:pPr>
            <w:r>
              <w:t xml:space="preserve">Revenue</w:t>
            </w:r>
          </w:p>
        </w:tc>
        <w:tc>
          <w:tcPr/>
          <w:p>
            <w:pPr>
              <w:pStyle w:val="Compact"/>
              <w:jc w:val="right"/>
            </w:pPr>
            <w:r>
              <w:t xml:space="preserve">$1.73B</w:t>
            </w:r>
          </w:p>
        </w:tc>
        <w:tc>
          <w:tcPr/>
          <w:p>
            <w:pPr>
              <w:pStyle w:val="Compact"/>
              <w:jc w:val="right"/>
            </w:pPr>
            <w:r>
              <w:t xml:space="preserve">Approximately</w:t>
            </w:r>
            <w:r>
              <w:t xml:space="preserve"> </w:t>
            </w:r>
            <m:oMath>
              <m:r>
                <m:t>1.8</m:t>
              </m:r>
              <m:r>
                <m:t>B</m:t>
              </m:r>
              <m:r>
                <m:rPr>
                  <m:sty m:val="p"/>
                </m:rPr>
                <m:t>–</m:t>
              </m:r>
            </m:oMath>
            <w:r>
              <w:rPr>
                <w:b/>
                <w:bCs/>
              </w:rPr>
              <w:t xml:space="preserve">1.85B</w:t>
            </w:r>
          </w:p>
        </w:tc>
      </w:tr>
      <w:tr>
        <w:tc>
          <w:tcPr/>
          <w:p>
            <w:pPr>
              <w:pStyle w:val="Compact"/>
            </w:pPr>
            <w:r>
              <w:t xml:space="preserve">Adjusted EBITDA</w:t>
            </w:r>
          </w:p>
        </w:tc>
        <w:tc>
          <w:tcPr/>
          <w:p>
            <w:pPr>
              <w:pStyle w:val="Compact"/>
              <w:jc w:val="right"/>
            </w:pPr>
            <w:r>
              <w:t xml:space="preserve">$308M</w:t>
            </w:r>
          </w:p>
        </w:tc>
        <w:tc>
          <w:tcPr/>
          <w:p>
            <w:pPr>
              <w:pStyle w:val="Compact"/>
              <w:jc w:val="right"/>
            </w:pPr>
            <w:r>
              <w:t xml:space="preserve">Approximately</w:t>
            </w:r>
            <w:r>
              <w:t xml:space="preserve"> </w:t>
            </w:r>
            <m:oMath>
              <m:r>
                <m:t>285</m:t>
              </m:r>
              <m:r>
                <m:t>M</m:t>
              </m:r>
              <m:r>
                <m:rPr>
                  <m:sty m:val="p"/>
                </m:rPr>
                <m:t>–</m:t>
              </m:r>
            </m:oMath>
            <w:r>
              <w:rPr>
                <w:b/>
                <w:bCs/>
              </w:rPr>
              <w:t xml:space="preserve">300M</w:t>
            </w:r>
          </w:p>
        </w:tc>
      </w:tr>
      <w:tr>
        <w:tc>
          <w:tcPr/>
          <w:p>
            <w:pPr>
              <w:pStyle w:val="Compact"/>
            </w:pPr>
            <w:r>
              <w:t xml:space="preserve">Timberlands EBITDA</w:t>
            </w:r>
          </w:p>
        </w:tc>
        <w:tc>
          <w:tcPr/>
          <w:p>
            <w:pPr>
              <w:pStyle w:val="Compact"/>
              <w:jc w:val="right"/>
            </w:pPr>
            <w:r>
              <w:t xml:space="preserve">$120M</w:t>
            </w:r>
          </w:p>
        </w:tc>
        <w:tc>
          <w:tcPr/>
          <w:p>
            <w:pPr>
              <w:pStyle w:val="Compact"/>
              <w:jc w:val="right"/>
            </w:pPr>
            <w:r>
              <w:t xml:space="preserve">Roughly comparable to Q1</w:t>
            </w:r>
          </w:p>
        </w:tc>
      </w:tr>
      <w:tr>
        <w:tc>
          <w:tcPr/>
          <w:p>
            <w:pPr>
              <w:pStyle w:val="Compact"/>
            </w:pPr>
            <w:r>
              <w:t xml:space="preserve">Strategic Land Solutions EBITDA</w:t>
            </w:r>
          </w:p>
        </w:tc>
        <w:tc>
          <w:tcPr/>
          <w:p>
            <w:pPr>
              <w:pStyle w:val="Compact"/>
              <w:jc w:val="right"/>
            </w:pPr>
            <w:r>
              <w:t xml:space="preserve">$193M</w:t>
            </w:r>
          </w:p>
        </w:tc>
        <w:tc>
          <w:tcPr/>
          <w:p>
            <w:pPr>
              <w:pStyle w:val="Compact"/>
              <w:jc w:val="right"/>
            </w:pPr>
            <w:r>
              <w:t xml:space="preserve">Approximately</w:t>
            </w:r>
            <w:r>
              <w:t xml:space="preserve"> </w:t>
            </w:r>
            <w:r>
              <w:rPr>
                <w:b/>
                <w:bCs/>
              </w:rPr>
              <w:t xml:space="preserve">$123M</w:t>
            </w:r>
          </w:p>
        </w:tc>
      </w:tr>
      <w:tr>
        <w:tc>
          <w:tcPr/>
          <w:p>
            <w:pPr>
              <w:pStyle w:val="Compact"/>
            </w:pPr>
            <w:r>
              <w:t xml:space="preserve">Wood Products EBITDA</w:t>
            </w:r>
          </w:p>
        </w:tc>
        <w:tc>
          <w:tcPr/>
          <w:p>
            <w:pPr>
              <w:pStyle w:val="Compact"/>
              <w:jc w:val="right"/>
            </w:pPr>
            <w:r>
              <w:t xml:space="preserve">$71M</w:t>
            </w:r>
          </w:p>
        </w:tc>
        <w:tc>
          <w:tcPr/>
          <w:p>
            <w:pPr>
              <w:pStyle w:val="Compact"/>
              <w:jc w:val="right"/>
            </w:pPr>
            <w:r>
              <w:t xml:space="preserve">Likely above Q1, despite the outlook reduction</w:t>
            </w:r>
          </w:p>
        </w:tc>
      </w:tr>
    </w:tbl>
    <w:p>
      <w:pPr>
        <w:pStyle w:val="BodyText"/>
      </w:pPr>
      <w:r>
        <w:t xml:space="preserve">Published estimates vary slightly by data provider: Barchart shows a five-analyst EPS consensus of $0.08, while MarketBeat lists $0.10 and expected revenue of $1.83 billion. (</w:t>
      </w:r>
      <w:hyperlink r:id="rId11">
        <w:r>
          <w:rPr>
            <w:rStyle w:val="Hyperlink"/>
          </w:rPr>
          <w:t xml:space="preserve">marketbeat.com</w:t>
        </w:r>
      </w:hyperlink>
      <w:r>
        <w:t xml:space="preserve">)</w:t>
      </w:r>
    </w:p>
    <w:bookmarkStart w:id="12" w:name="illustrative-ebitda-bridge"/>
    <w:p>
      <w:pPr>
        <w:pStyle w:val="Heading3"/>
      </w:pPr>
      <w:r>
        <w:t xml:space="preserve">Illustrative EBITDA bridge</w:t>
      </w:r>
    </w:p>
    <w:p>
      <w:pPr>
        <w:pStyle w:val="FirstParagraph"/>
      </w:pPr>
      <w:r>
        <w:t xml:space="preserve">A reasonable model based on management’s June update is:</w:t>
      </w:r>
    </w:p>
    <w:p>
      <w:pPr>
        <w:pStyle w:val="Compact"/>
        <w:numPr>
          <w:ilvl w:val="0"/>
          <w:numId w:val="1002"/>
        </w:numPr>
      </w:pPr>
      <w:r>
        <w:rPr>
          <w:b/>
          <w:bCs/>
        </w:rPr>
        <w:t xml:space="preserve">Timberlands:</w:t>
      </w:r>
      <w:r>
        <w:t xml:space="preserve"> </w:t>
      </w:r>
      <w:r>
        <w:t xml:space="preserve">approximately $120 million, flat with Q1.</w:t>
      </w:r>
    </w:p>
    <w:p>
      <w:pPr>
        <w:pStyle w:val="Compact"/>
        <w:numPr>
          <w:ilvl w:val="0"/>
          <w:numId w:val="1002"/>
        </w:numPr>
      </w:pPr>
      <w:r>
        <w:rPr>
          <w:b/>
          <w:bCs/>
        </w:rPr>
        <w:t xml:space="preserve">Strategic Land Solutions:</w:t>
      </w:r>
      <w:r>
        <w:t xml:space="preserve"> </w:t>
      </w:r>
      <w:r>
        <w:t xml:space="preserve">approximately $123 million, down $70 million sequentially.</w:t>
      </w:r>
    </w:p>
    <w:p>
      <w:pPr>
        <w:pStyle w:val="Compact"/>
        <w:numPr>
          <w:ilvl w:val="0"/>
          <w:numId w:val="1002"/>
        </w:numPr>
      </w:pPr>
      <w:r>
        <w:rPr>
          <w:b/>
          <w:bCs/>
        </w:rPr>
        <w:t xml:space="preserve">Wood Products:</w:t>
      </w:r>
      <w:r>
        <w:t xml:space="preserve"> </w:t>
      </w:r>
      <w:r>
        <w:t xml:space="preserve">approximately</w:t>
      </w:r>
      <w:r>
        <w:t xml:space="preserve"> </w:t>
      </w:r>
      <m:oMath>
        <m:r>
          <m:t>115</m:t>
        </m:r>
        <m:r>
          <m:t>m</m:t>
        </m:r>
        <m:r>
          <m:t>i</m:t>
        </m:r>
        <m:r>
          <m:t>l</m:t>
        </m:r>
        <m:r>
          <m:t>l</m:t>
        </m:r>
        <m:r>
          <m:t>i</m:t>
        </m:r>
        <m:r>
          <m:t>o</m:t>
        </m:r>
        <m:r>
          <m:t>n</m:t>
        </m:r>
        <m:r>
          <m:rPr>
            <m:sty m:val="p"/>
          </m:rPr>
          <m:t>–</m:t>
        </m:r>
      </m:oMath>
      <w:r>
        <w:t xml:space="preserve">125 million.</w:t>
      </w:r>
    </w:p>
    <w:p>
      <w:pPr>
        <w:pStyle w:val="Compact"/>
        <w:numPr>
          <w:ilvl w:val="0"/>
          <w:numId w:val="1002"/>
        </w:numPr>
      </w:pPr>
      <w:r>
        <w:rPr>
          <w:b/>
          <w:bCs/>
        </w:rPr>
        <w:t xml:space="preserve">Unallocated:</w:t>
      </w:r>
      <w:r>
        <w:t xml:space="preserve"> </w:t>
      </w:r>
      <w:r>
        <w:t xml:space="preserve">roughly negative $75 million.</w:t>
      </w:r>
    </w:p>
    <w:p>
      <w:pPr>
        <w:pStyle w:val="FirstParagraph"/>
      </w:pPr>
      <w:r>
        <w:t xml:space="preserve">That produces consolidated Adjusted EBITDA around</w:t>
      </w:r>
      <w:r>
        <w:t xml:space="preserve"> </w:t>
      </w:r>
      <m:oMath>
        <m:r>
          <m:t>285</m:t>
        </m:r>
        <m:r>
          <m:t>m</m:t>
        </m:r>
        <m:r>
          <m:t>i</m:t>
        </m:r>
        <m:r>
          <m:t>l</m:t>
        </m:r>
        <m:r>
          <m:t>l</m:t>
        </m:r>
        <m:r>
          <m:t>i</m:t>
        </m:r>
        <m:r>
          <m:t>o</m:t>
        </m:r>
        <m:r>
          <m:t>n</m:t>
        </m:r>
        <m:r>
          <m:rPr>
            <m:sty m:val="p"/>
          </m:rPr>
          <m:t>–</m:t>
        </m:r>
      </m:oMath>
      <w:r>
        <w:rPr>
          <w:b/>
          <w:bCs/>
        </w:rPr>
        <w:t xml:space="preserve">295 million</w:t>
      </w:r>
      <w:r>
        <w:t xml:space="preserve">, modestly below Q1’s $308 million but with a much stronger Wood Products contribution offsetting the planned decline in Strategic Land Solutions.</w:t>
      </w:r>
    </w:p>
    <w:bookmarkEnd w:id="12"/>
    <w:bookmarkEnd w:id="13"/>
    <w:bookmarkStart w:id="16" w:name="the-central-issue-wood-products"/>
    <w:p>
      <w:pPr>
        <w:pStyle w:val="Heading2"/>
      </w:pPr>
      <w:r>
        <w:t xml:space="preserve">The central issue: Wood Products</w:t>
      </w:r>
    </w:p>
    <w:p>
      <w:pPr>
        <w:pStyle w:val="FirstParagraph"/>
      </w:pPr>
      <w:r>
        <w:t xml:space="preserve">At the beginning of the quarter, Weyerhaeuser expected Wood Products earnings and Adjusted EBITDA to be comparable with Q1, before commodity-price changes. In June, it lowered that underlying expectation to approximately</w:t>
      </w:r>
      <w:r>
        <w:t xml:space="preserve"> </w:t>
      </w:r>
      <w:r>
        <w:rPr>
          <w:b/>
          <w:bCs/>
        </w:rPr>
        <w:t xml:space="preserve">$20 million below Q1</w:t>
      </w:r>
      <w:r>
        <w:t xml:space="preserve">, citing:</w:t>
      </w:r>
    </w:p>
    <w:p>
      <w:pPr>
        <w:pStyle w:val="Compact"/>
        <w:numPr>
          <w:ilvl w:val="0"/>
          <w:numId w:val="1003"/>
        </w:numPr>
      </w:pPr>
      <w:r>
        <w:t xml:space="preserve">Lower lumber sales volumes.</w:t>
      </w:r>
    </w:p>
    <w:p>
      <w:pPr>
        <w:pStyle w:val="Compact"/>
        <w:numPr>
          <w:ilvl w:val="0"/>
          <w:numId w:val="1003"/>
        </w:numPr>
      </w:pPr>
      <w:r>
        <w:t xml:space="preserve">Higher unit manufacturing costs.</w:t>
      </w:r>
    </w:p>
    <w:p>
      <w:pPr>
        <w:pStyle w:val="Compact"/>
        <w:numPr>
          <w:ilvl w:val="0"/>
          <w:numId w:val="1003"/>
        </w:numPr>
      </w:pPr>
      <w:r>
        <w:t xml:space="preserve">Lower production caused partly by transportation constraints.</w:t>
      </w:r>
    </w:p>
    <w:p>
      <w:pPr>
        <w:pStyle w:val="FirstParagraph"/>
      </w:pPr>
      <w:r>
        <w:t xml:space="preserve">At the same time, management estimated that higher lumber realizations would contribute approximately</w:t>
      </w:r>
      <w:r>
        <w:t xml:space="preserve"> </w:t>
      </w:r>
      <w:r>
        <w:rPr>
          <w:b/>
          <w:bCs/>
        </w:rPr>
        <w:t xml:space="preserve">$70 million of sequential EBITDA</w:t>
      </w:r>
      <w:r>
        <w:t xml:space="preserve">, based on quarter-to-date realizations through June 19. Timberlands and Strategic Land Solutions guidance was unchanged in that update. The SEC filing confirms that the June investor materials contained adjustments to the previously disclosed Q2 outlook. (</w:t>
      </w:r>
      <w:hyperlink r:id="rId14">
        <w:r>
          <w:rPr>
            <w:rStyle w:val="Hyperlink"/>
          </w:rPr>
          <w:t xml:space="preserve">sec.gov</w:t>
        </w:r>
      </w:hyperlink>
      <w:r>
        <w:t xml:space="preserve">)</w:t>
      </w:r>
    </w:p>
    <w:p>
      <w:pPr>
        <w:pStyle w:val="BodyText"/>
      </w:pPr>
      <w:r>
        <w:t xml:space="preserve">The implied Wood Products equation is therefore approximately:</w:t>
      </w:r>
    </w:p>
    <w:p>
      <w:pPr>
        <w:pStyle w:val="BlockText"/>
      </w:pPr>
      <w:r>
        <w:t xml:space="preserve">Q1 EBITDA of $71M</w:t>
      </w:r>
      <w:r>
        <w:br/>
      </w:r>
      <w:r>
        <w:rPr>
          <w:b/>
          <w:bCs/>
        </w:rPr>
        <w:t xml:space="preserve">– $20M underlying operating shortfall</w:t>
      </w:r>
      <w:r>
        <w:br/>
      </w:r>
      <w:r>
        <w:rPr>
          <w:b/>
          <w:bCs/>
        </w:rPr>
        <w:t xml:space="preserve">+ roughly</w:t>
      </w:r>
      <w:r>
        <w:rPr>
          <w:b/>
          <w:bCs/>
        </w:rPr>
        <w:t xml:space="preserve"> </w:t>
      </w:r>
      <m:oMath>
        <m:r>
          <m:t>70</m:t>
        </m:r>
        <m:r>
          <m:t>M</m:t>
        </m:r>
        <m:r>
          <m:t>l</m:t>
        </m:r>
        <m:r>
          <m:t>u</m:t>
        </m:r>
        <m:r>
          <m:t>m</m:t>
        </m:r>
        <m:r>
          <m:t>b</m:t>
        </m:r>
        <m:r>
          <m:t>e</m:t>
        </m:r>
        <m:r>
          <m:t>r</m:t>
        </m:r>
        <m:r>
          <m:rPr>
            <m:sty m:val="p"/>
          </m:rPr>
          <m:t>−</m:t>
        </m:r>
        <m:r>
          <m:t>p</m:t>
        </m:r>
        <m:r>
          <m:t>r</m:t>
        </m:r>
        <m:r>
          <m:t>i</m:t>
        </m:r>
        <m:r>
          <m:t>c</m:t>
        </m:r>
        <m:r>
          <m:t>i</m:t>
        </m:r>
        <m:r>
          <m:t>n</m:t>
        </m:r>
        <m:r>
          <m:t>g</m:t>
        </m:r>
        <m:r>
          <m:t>b</m:t>
        </m:r>
        <m:r>
          <m:t>e</m:t>
        </m:r>
        <m:r>
          <m:t>n</m:t>
        </m:r>
        <m:r>
          <m:t>e</m:t>
        </m:r>
        <m:r>
          <m:t>f</m:t>
        </m:r>
        <m:r>
          <m:t>i</m:t>
        </m:r>
        <m:r>
          <m:t>t</m:t>
        </m:r>
        <m:r>
          <m:rPr>
            <m:sty m:val="p"/>
          </m:rPr>
          <m:t>*</m:t>
        </m:r>
        <m:r>
          <m:rPr>
            <m:sty m:val="p"/>
          </m:rPr>
          <m:t>*</m:t>
        </m:r>
        <m:r>
          <m:rPr>
            <m:sty m:val="p"/>
          </m:rPr>
          <m:t>*</m:t>
        </m:r>
        <m:r>
          <m:rPr>
            <m:sty m:val="p"/>
          </m:rPr>
          <m:t>*</m:t>
        </m:r>
        <m:r>
          <m:rPr>
            <m:sty m:val="p"/>
          </m:rPr>
          <m:t>+</m:t>
        </m:r>
        <m:r>
          <m:t>a</m:t>
        </m:r>
        <m:r>
          <m:t>s</m:t>
        </m:r>
        <m:r>
          <m:t>m</m:t>
        </m:r>
        <m:r>
          <m:t>a</m:t>
        </m:r>
        <m:r>
          <m:t>l</m:t>
        </m:r>
        <m:r>
          <m:t>l</m:t>
        </m:r>
        <m:r>
          <m:t>O</m:t>
        </m:r>
        <m:r>
          <m:t>S</m:t>
        </m:r>
        <m:r>
          <m:t>B</m:t>
        </m:r>
        <m:r>
          <m:t>p</m:t>
        </m:r>
        <m:r>
          <m:t>r</m:t>
        </m:r>
        <m:r>
          <m:t>i</m:t>
        </m:r>
        <m:r>
          <m:t>c</m:t>
        </m:r>
        <m:r>
          <m:t>i</m:t>
        </m:r>
        <m:r>
          <m:t>n</m:t>
        </m:r>
        <m:r>
          <m:t>g</m:t>
        </m:r>
        <m:r>
          <m:t>b</m:t>
        </m:r>
        <m:r>
          <m:t>e</m:t>
        </m:r>
        <m:r>
          <m:t>n</m:t>
        </m:r>
        <m:r>
          <m:t>e</m:t>
        </m:r>
        <m:r>
          <m:t>f</m:t>
        </m:r>
        <m:r>
          <m:t>i</m:t>
        </m:r>
        <m:r>
          <m:t>t</m:t>
        </m:r>
        <m:r>
          <m:rPr>
            <m:sty m:val="p"/>
          </m:rPr>
          <m:t>*</m:t>
        </m:r>
        <m:r>
          <m:rPr>
            <m:sty m:val="p"/>
          </m:rPr>
          <m:t>*</m:t>
        </m:r>
        <m:r>
          <m:rPr>
            <m:sty m:val="p"/>
          </m:rPr>
          <m:t>=</m:t>
        </m:r>
        <m:r>
          <m:t>r</m:t>
        </m:r>
        <m:r>
          <m:t>o</m:t>
        </m:r>
        <m:r>
          <m:t>u</m:t>
        </m:r>
        <m:r>
          <m:t>g</m:t>
        </m:r>
        <m:r>
          <m:t>h</m:t>
        </m:r>
        <m:r>
          <m:t>l</m:t>
        </m:r>
        <m:r>
          <m:t>y</m:t>
        </m:r>
        <m:r>
          <m:rPr>
            <m:sty m:val="p"/>
          </m:rPr>
          <m:t>*</m:t>
        </m:r>
        <m:r>
          <m:rPr>
            <m:sty m:val="p"/>
          </m:rPr>
          <m:t>*</m:t>
        </m:r>
      </m:oMath>
      <w:r>
        <w:rPr>
          <w:b/>
          <w:bCs/>
        </w:rPr>
        <w:t xml:space="preserve">120M of Q2 EBITDA</w:t>
      </w:r>
    </w:p>
    <w:bookmarkStart w:id="15" w:name="what-investors-should-listen-for"/>
    <w:p>
      <w:pPr>
        <w:pStyle w:val="Heading3"/>
      </w:pPr>
      <w:r>
        <w:t xml:space="preserve">What investors should listen for</w:t>
      </w:r>
    </w:p>
    <w:p>
      <w:pPr>
        <w:pStyle w:val="Compact"/>
        <w:numPr>
          <w:ilvl w:val="0"/>
          <w:numId w:val="1004"/>
        </w:numPr>
      </w:pPr>
      <w:r>
        <w:rPr>
          <w:b/>
          <w:bCs/>
        </w:rPr>
        <w:t xml:space="preserve">Transportation constraints:</w:t>
      </w:r>
      <w:r>
        <w:t xml:space="preserve"> </w:t>
      </w:r>
      <w:r>
        <w:t xml:space="preserve">Were these isolated logistical problems, or are higher freight costs and limited availability continuing into Q3?</w:t>
      </w:r>
    </w:p>
    <w:p>
      <w:pPr>
        <w:pStyle w:val="Compact"/>
        <w:numPr>
          <w:ilvl w:val="0"/>
          <w:numId w:val="1004"/>
        </w:numPr>
      </w:pPr>
      <w:r>
        <w:rPr>
          <w:b/>
          <w:bCs/>
        </w:rPr>
        <w:t xml:space="preserve">Production recovery:</w:t>
      </w:r>
      <w:r>
        <w:t xml:space="preserve"> </w:t>
      </w:r>
      <w:r>
        <w:t xml:space="preserve">Did lumber output normalize by quarter-end?</w:t>
      </w:r>
    </w:p>
    <w:p>
      <w:pPr>
        <w:pStyle w:val="Compact"/>
        <w:numPr>
          <w:ilvl w:val="0"/>
          <w:numId w:val="1004"/>
        </w:numPr>
      </w:pPr>
      <w:r>
        <w:rPr>
          <w:b/>
          <w:bCs/>
        </w:rPr>
        <w:t xml:space="preserve">Price realization:</w:t>
      </w:r>
      <w:r>
        <w:t xml:space="preserve"> </w:t>
      </w:r>
      <w:r>
        <w:t xml:space="preserve">How much did Weyerhaeuser’s average lumber realization rise sequentially, and how does the July order book compare with Q2?</w:t>
      </w:r>
    </w:p>
    <w:p>
      <w:pPr>
        <w:pStyle w:val="Compact"/>
        <w:numPr>
          <w:ilvl w:val="0"/>
          <w:numId w:val="1004"/>
        </w:numPr>
      </w:pPr>
      <w:r>
        <w:rPr>
          <w:b/>
          <w:bCs/>
        </w:rPr>
        <w:t xml:space="preserve">Cost pass-through:</w:t>
      </w:r>
      <w:r>
        <w:t xml:space="preserve"> </w:t>
      </w:r>
      <w:r>
        <w:t xml:space="preserve">Management previously noted that higher trucking costs were partly embedded in delivered lumber realizations. Investors need to distinguish true product-price improvement from reimbursement for freight inflation.</w:t>
      </w:r>
    </w:p>
    <w:p>
      <w:pPr>
        <w:pStyle w:val="Compact"/>
        <w:numPr>
          <w:ilvl w:val="0"/>
          <w:numId w:val="1004"/>
        </w:numPr>
      </w:pPr>
      <w:r>
        <w:rPr>
          <w:b/>
          <w:bCs/>
        </w:rPr>
        <w:t xml:space="preserve">OSB:</w:t>
      </w:r>
      <w:r>
        <w:t xml:space="preserve"> </w:t>
      </w:r>
      <w:r>
        <w:t xml:space="preserve">Q2 pricing was much less supportive than lumber. Guidance around recent OSB pricing and planned industry capacity additions could materially influence the second-half outlook.</w:t>
      </w:r>
    </w:p>
    <w:p>
      <w:pPr>
        <w:pStyle w:val="Compact"/>
        <w:numPr>
          <w:ilvl w:val="0"/>
          <w:numId w:val="1004"/>
        </w:numPr>
      </w:pPr>
      <w:r>
        <w:rPr>
          <w:b/>
          <w:bCs/>
        </w:rPr>
        <w:t xml:space="preserve">EWP:</w:t>
      </w:r>
      <w:r>
        <w:t xml:space="preserve"> </w:t>
      </w:r>
      <w:r>
        <w:t xml:space="preserve">Engineered wood products remain heavily tied to single-family construction. Volume, pricing discipline and order-file commentary will be important indicators of underlying housing demand.</w:t>
      </w:r>
    </w:p>
    <w:p>
      <w:pPr>
        <w:pStyle w:val="FirstParagraph"/>
      </w:pPr>
      <w:r>
        <w:t xml:space="preserve">A clean quarter would show that the June production problems were temporary and that Wood Products entered Q3 with normal operating rates. A weaker outcome would indicate that the apparent commodity-price upside was largely consumed by costs and execution issues.</w:t>
      </w:r>
    </w:p>
    <w:bookmarkEnd w:id="15"/>
    <w:bookmarkEnd w:id="16"/>
    <w:bookmarkStart w:id="18" w:name="Xe706fa803e938840a57ac54fb1b9da3e43bdf53"/>
    <w:p>
      <w:pPr>
        <w:pStyle w:val="Heading2"/>
      </w:pPr>
      <w:r>
        <w:t xml:space="preserve">Timberlands: stability matters more than growth</w:t>
      </w:r>
    </w:p>
    <w:p>
      <w:pPr>
        <w:pStyle w:val="FirstParagraph"/>
      </w:pPr>
      <w:r>
        <w:t xml:space="preserve">Management maintained its expectation for Timberlands EBITDA to be comparable with Q1’s</w:t>
      </w:r>
      <w:r>
        <w:t xml:space="preserve"> </w:t>
      </w:r>
      <w:r>
        <w:rPr>
          <w:b/>
          <w:bCs/>
        </w:rPr>
        <w:t xml:space="preserve">$120 million</w:t>
      </w:r>
      <w:r>
        <w:t xml:space="preserve">. The original outlook called for:</w:t>
      </w:r>
    </w:p>
    <w:p>
      <w:pPr>
        <w:pStyle w:val="Compact"/>
        <w:numPr>
          <w:ilvl w:val="0"/>
          <w:numId w:val="1005"/>
        </w:numPr>
      </w:pPr>
      <w:r>
        <w:t xml:space="preserve">Moderately higher Western fee-harvest volumes.</w:t>
      </w:r>
    </w:p>
    <w:p>
      <w:pPr>
        <w:pStyle w:val="Compact"/>
        <w:numPr>
          <w:ilvl w:val="0"/>
          <w:numId w:val="1005"/>
        </w:numPr>
      </w:pPr>
      <w:r>
        <w:t xml:space="preserve">Slightly higher Western realizations.</w:t>
      </w:r>
    </w:p>
    <w:p>
      <w:pPr>
        <w:pStyle w:val="Compact"/>
        <w:numPr>
          <w:ilvl w:val="0"/>
          <w:numId w:val="1005"/>
        </w:numPr>
      </w:pPr>
      <w:r>
        <w:t xml:space="preserve">Slightly higher Southern harvest volumes.</w:t>
      </w:r>
    </w:p>
    <w:p>
      <w:pPr>
        <w:pStyle w:val="Compact"/>
        <w:numPr>
          <w:ilvl w:val="0"/>
          <w:numId w:val="1005"/>
        </w:numPr>
      </w:pPr>
      <w:r>
        <w:t xml:space="preserve">Comparable Southern realizations.</w:t>
      </w:r>
    </w:p>
    <w:p>
      <w:pPr>
        <w:pStyle w:val="Compact"/>
        <w:numPr>
          <w:ilvl w:val="0"/>
          <w:numId w:val="1005"/>
        </w:numPr>
      </w:pPr>
      <w:r>
        <w:t xml:space="preserve">Higher log-and-haul and seasonal forestry costs in both regions. (</w:t>
      </w:r>
      <w:hyperlink r:id="rId17">
        <w:r>
          <w:rPr>
            <w:rStyle w:val="Hyperlink"/>
          </w:rPr>
          <w:t xml:space="preserve">sec.gov</w:t>
        </w:r>
      </w:hyperlink>
      <w:r>
        <w:t xml:space="preserve">)</w:t>
      </w:r>
    </w:p>
    <w:p>
      <w:pPr>
        <w:pStyle w:val="FirstParagraph"/>
      </w:pPr>
      <w:r>
        <w:t xml:space="preserve">The expected result is therefore fairly straightforward:</w:t>
      </w:r>
      <w:r>
        <w:t xml:space="preserve"> </w:t>
      </w:r>
      <w:r>
        <w:rPr>
          <w:b/>
          <w:bCs/>
        </w:rPr>
        <w:t xml:space="preserve">better Western volumes and pricing offset by higher seasonal and transportation costs</w:t>
      </w:r>
      <w:r>
        <w:t xml:space="preserve">.</w:t>
      </w:r>
    </w:p>
    <w:p>
      <w:pPr>
        <w:pStyle w:val="BodyText"/>
      </w:pPr>
      <w:r>
        <w:t xml:space="preserve">Key questions include:</w:t>
      </w:r>
    </w:p>
    <w:p>
      <w:pPr>
        <w:pStyle w:val="Compact"/>
        <w:numPr>
          <w:ilvl w:val="0"/>
          <w:numId w:val="1006"/>
        </w:numPr>
      </w:pPr>
      <w:r>
        <w:t xml:space="preserve">Did higher Douglas-fir lumber pricing translate into stronger Western domestic log realizations?</w:t>
      </w:r>
    </w:p>
    <w:p>
      <w:pPr>
        <w:pStyle w:val="Compact"/>
        <w:numPr>
          <w:ilvl w:val="0"/>
          <w:numId w:val="1006"/>
        </w:numPr>
      </w:pPr>
      <w:r>
        <w:t xml:space="preserve">Are Japanese log demand and pricing stable?</w:t>
      </w:r>
    </w:p>
    <w:p>
      <w:pPr>
        <w:pStyle w:val="Compact"/>
        <w:numPr>
          <w:ilvl w:val="0"/>
          <w:numId w:val="1006"/>
        </w:numPr>
      </w:pPr>
      <w:r>
        <w:t xml:space="preserve">Has Weyerhaeuser made additional progress rebuilding its China export program?</w:t>
      </w:r>
    </w:p>
    <w:p>
      <w:pPr>
        <w:pStyle w:val="Compact"/>
        <w:numPr>
          <w:ilvl w:val="0"/>
          <w:numId w:val="1006"/>
        </w:numPr>
      </w:pPr>
      <w:r>
        <w:t xml:space="preserve">Are elevated fuel and ocean-freight costs pressuring export economics?</w:t>
      </w:r>
    </w:p>
    <w:p>
      <w:pPr>
        <w:pStyle w:val="Compact"/>
        <w:numPr>
          <w:ilvl w:val="0"/>
          <w:numId w:val="1006"/>
        </w:numPr>
      </w:pPr>
      <w:r>
        <w:t xml:space="preserve">Is Southern sawlog pricing showing any benefit from recently added mill capacity?</w:t>
      </w:r>
    </w:p>
    <w:p>
      <w:pPr>
        <w:pStyle w:val="Compact"/>
        <w:numPr>
          <w:ilvl w:val="0"/>
          <w:numId w:val="1006"/>
        </w:numPr>
      </w:pPr>
      <w:r>
        <w:t xml:space="preserve">Is Southern fiber demand still soft?</w:t>
      </w:r>
    </w:p>
    <w:p>
      <w:pPr>
        <w:pStyle w:val="FirstParagraph"/>
      </w:pPr>
      <w:r>
        <w:t xml:space="preserve">A meaningful miss in Timberlands would be concerning because the segment’s guidance was reaffirmed in late June, leaving relatively little time for conditions to change.</w:t>
      </w:r>
    </w:p>
    <w:bookmarkEnd w:id="18"/>
    <w:bookmarkStart w:id="19" w:name="Xf77e9061ee4531742175b2a0f4db012975542c4"/>
    <w:p>
      <w:pPr>
        <w:pStyle w:val="Heading2"/>
      </w:pPr>
      <w:r>
        <w:t xml:space="preserve">Strategic Land Solutions: a planned sequential decline</w:t>
      </w:r>
    </w:p>
    <w:p>
      <w:pPr>
        <w:pStyle w:val="FirstParagraph"/>
      </w:pPr>
      <w:r>
        <w:t xml:space="preserve">Strategic Land Solutions generated an unusually strong</w:t>
      </w:r>
      <w:r>
        <w:t xml:space="preserve"> </w:t>
      </w:r>
      <w:r>
        <w:rPr>
          <w:b/>
          <w:bCs/>
        </w:rPr>
        <w:t xml:space="preserve">$193 million of Q1 Adjusted EBITDA</w:t>
      </w:r>
      <w:r>
        <w:t xml:space="preserve">, helped by a $94 million Florida conservation-easement transaction.</w:t>
      </w:r>
    </w:p>
    <w:p>
      <w:pPr>
        <w:pStyle w:val="BodyText"/>
      </w:pPr>
      <w:r>
        <w:t xml:space="preserve">For Q2, management expects EBITDA to decline approximately</w:t>
      </w:r>
      <w:r>
        <w:t xml:space="preserve"> </w:t>
      </w:r>
      <m:oMath>
        <m:r>
          <m:t>70</m:t>
        </m:r>
        <m:r>
          <m:t>m</m:t>
        </m:r>
        <m:r>
          <m:t>i</m:t>
        </m:r>
        <m:r>
          <m:t>l</m:t>
        </m:r>
        <m:r>
          <m:t>l</m:t>
        </m:r>
        <m:r>
          <m:t>i</m:t>
        </m:r>
        <m:r>
          <m:t>o</m:t>
        </m:r>
        <m:r>
          <m:t>n</m:t>
        </m:r>
        <m:r>
          <m:rPr>
            <m:sty m:val="p"/>
          </m:rPr>
          <m:t>*</m:t>
        </m:r>
        <m:r>
          <m:rPr>
            <m:sty m:val="p"/>
          </m:rPr>
          <m:t>*</m:t>
        </m:r>
        <m:r>
          <m:rPr>
            <m:sty m:val="p"/>
          </m:rPr>
          <m:t>,</m:t>
        </m:r>
        <m:r>
          <m:t>t</m:t>
        </m:r>
        <m:r>
          <m:t>o</m:t>
        </m:r>
        <m:r>
          <m:t>a</m:t>
        </m:r>
        <m:r>
          <m:t>b</m:t>
        </m:r>
        <m:r>
          <m:t>o</m:t>
        </m:r>
        <m:r>
          <m:t>u</m:t>
        </m:r>
        <m:r>
          <m:t>t</m:t>
        </m:r>
        <m:r>
          <m:rPr>
            <m:sty m:val="p"/>
          </m:rPr>
          <m:t>*</m:t>
        </m:r>
        <m:r>
          <m:rPr>
            <m:sty m:val="p"/>
          </m:rPr>
          <m:t>*</m:t>
        </m:r>
      </m:oMath>
      <w:r>
        <w:rPr>
          <w:b/>
          <w:bCs/>
        </w:rPr>
        <w:t xml:space="preserve">123 million</w:t>
      </w:r>
      <w:r>
        <w:t xml:space="preserve">, due to the absence of another large conservation transaction, partly offset by stronger real-estate results. Full-year segment guidance remained approximately</w:t>
      </w:r>
      <w:r>
        <w:t xml:space="preserve"> </w:t>
      </w:r>
      <w:r>
        <w:rPr>
          <w:b/>
          <w:bCs/>
        </w:rPr>
        <w:t xml:space="preserve">$425 million</w:t>
      </w:r>
      <w:r>
        <w:t xml:space="preserve">. (</w:t>
      </w:r>
      <w:hyperlink r:id="rId17">
        <w:r>
          <w:rPr>
            <w:rStyle w:val="Hyperlink"/>
          </w:rPr>
          <w:t xml:space="preserve">sec.gov</w:t>
        </w:r>
      </w:hyperlink>
      <w:r>
        <w:t xml:space="preserve">)</w:t>
      </w:r>
    </w:p>
    <w:p>
      <w:pPr>
        <w:pStyle w:val="BodyText"/>
      </w:pPr>
      <w:r>
        <w:t xml:space="preserve">This segment should not be judged simply on the sequential decline—it was clearly telegraphed. Investors should instead focus on:</w:t>
      </w:r>
    </w:p>
    <w:p>
      <w:pPr>
        <w:pStyle w:val="Compact"/>
        <w:numPr>
          <w:ilvl w:val="0"/>
          <w:numId w:val="1007"/>
        </w:numPr>
      </w:pPr>
      <w:r>
        <w:t xml:space="preserve">Whether the</w:t>
      </w:r>
      <w:r>
        <w:t xml:space="preserve"> </w:t>
      </w:r>
      <w:r>
        <w:rPr>
          <w:b/>
          <w:bCs/>
        </w:rPr>
        <w:t xml:space="preserve">$425 million full-year target</w:t>
      </w:r>
      <w:r>
        <w:t xml:space="preserve"> </w:t>
      </w:r>
      <w:r>
        <w:t xml:space="preserve">is reiterated.</w:t>
      </w:r>
    </w:p>
    <w:p>
      <w:pPr>
        <w:pStyle w:val="Compact"/>
        <w:numPr>
          <w:ilvl w:val="0"/>
          <w:numId w:val="1007"/>
        </w:numPr>
      </w:pPr>
      <w:r>
        <w:t xml:space="preserve">The implied second-half contribution, which would be only about $109 million after approximately $316 million in the first half.</w:t>
      </w:r>
    </w:p>
    <w:p>
      <w:pPr>
        <w:pStyle w:val="Compact"/>
        <w:numPr>
          <w:ilvl w:val="0"/>
          <w:numId w:val="1007"/>
        </w:numPr>
      </w:pPr>
      <w:r>
        <w:t xml:space="preserve">Real-estate pricing and premiums to underlying timber value.</w:t>
      </w:r>
    </w:p>
    <w:p>
      <w:pPr>
        <w:pStyle w:val="Compact"/>
        <w:numPr>
          <w:ilvl w:val="0"/>
          <w:numId w:val="1007"/>
        </w:numPr>
      </w:pPr>
      <w:r>
        <w:t xml:space="preserve">Renewable-energy project conversions and new options.</w:t>
      </w:r>
    </w:p>
    <w:p>
      <w:pPr>
        <w:pStyle w:val="Compact"/>
        <w:numPr>
          <w:ilvl w:val="0"/>
          <w:numId w:val="1007"/>
        </w:numPr>
      </w:pPr>
      <w:r>
        <w:t xml:space="preserve">Forest-carbon credit issuance and project approvals.</w:t>
      </w:r>
    </w:p>
    <w:p>
      <w:pPr>
        <w:pStyle w:val="Compact"/>
        <w:numPr>
          <w:ilvl w:val="0"/>
          <w:numId w:val="1007"/>
        </w:numPr>
      </w:pPr>
      <w:r>
        <w:t xml:space="preserve">Progress on the Aymium biocarbon partnership.</w:t>
      </w:r>
    </w:p>
    <w:p>
      <w:pPr>
        <w:pStyle w:val="FirstParagraph"/>
      </w:pPr>
      <w:r>
        <w:t xml:space="preserve">A full-year guidance reduction would be more significant than a modest Q2 variance because Strategic Land Solutions provides relatively stable cash flow that helps support the dividend through weaker wood-product cycles.</w:t>
      </w:r>
    </w:p>
    <w:bookmarkEnd w:id="19"/>
    <w:bookmarkStart w:id="20" w:name="X950caed31265d9e041bd9ab1c056dfe505c794f"/>
    <w:p>
      <w:pPr>
        <w:pStyle w:val="Heading2"/>
      </w:pPr>
      <w:r>
        <w:t xml:space="preserve">Housing and commodity outlook will drive the reaction</w:t>
      </w:r>
    </w:p>
    <w:p>
      <w:pPr>
        <w:pStyle w:val="FirstParagraph"/>
      </w:pPr>
      <w:r>
        <w:t xml:space="preserve">Management entered Q2 describing housing as stuck in “second gear,” with affordability, consumer confidence and elevated mortgage rates limiting demand. The company nevertheless continues to argue that long-term demand is supported by demographics, an underbuilt housing stock and aging homes.</w:t>
      </w:r>
    </w:p>
    <w:p>
      <w:pPr>
        <w:pStyle w:val="BodyText"/>
      </w:pPr>
      <w:r>
        <w:t xml:space="preserve">For this report, investors need a more immediate assessment:</w:t>
      </w:r>
    </w:p>
    <w:p>
      <w:pPr>
        <w:pStyle w:val="Compact"/>
        <w:numPr>
          <w:ilvl w:val="0"/>
          <w:numId w:val="1008"/>
        </w:numPr>
      </w:pPr>
      <w:r>
        <w:t xml:space="preserve">Did the spring building season improve, remain soft or weaken further?</w:t>
      </w:r>
    </w:p>
    <w:p>
      <w:pPr>
        <w:pStyle w:val="Compact"/>
        <w:numPr>
          <w:ilvl w:val="0"/>
          <w:numId w:val="1008"/>
        </w:numPr>
      </w:pPr>
      <w:r>
        <w:t xml:space="preserve">Are homebuilders reducing starts or merely slowing the pace of construction?</w:t>
      </w:r>
    </w:p>
    <w:p>
      <w:pPr>
        <w:pStyle w:val="Compact"/>
        <w:numPr>
          <w:ilvl w:val="0"/>
          <w:numId w:val="1008"/>
        </w:numPr>
      </w:pPr>
      <w:r>
        <w:t xml:space="preserve">Are repair-and-remodel customers still maintaining lean inventories?</w:t>
      </w:r>
    </w:p>
    <w:p>
      <w:pPr>
        <w:pStyle w:val="Compact"/>
        <w:numPr>
          <w:ilvl w:val="0"/>
          <w:numId w:val="1008"/>
        </w:numPr>
      </w:pPr>
      <w:r>
        <w:t xml:space="preserve">Have July lumber order files weakened as higher prices and transportation costs reached customers?</w:t>
      </w:r>
    </w:p>
    <w:p>
      <w:pPr>
        <w:pStyle w:val="Compact"/>
        <w:numPr>
          <w:ilvl w:val="0"/>
          <w:numId w:val="1008"/>
        </w:numPr>
      </w:pPr>
      <w:r>
        <w:t xml:space="preserve">Is Weyerhaeuser planning market-related production curtailments in Q3?</w:t>
      </w:r>
    </w:p>
    <w:p>
      <w:pPr>
        <w:pStyle w:val="FirstParagraph"/>
      </w:pPr>
      <w:r>
        <w:t xml:space="preserve">The best outcome is not necessarily a bullish housing forecast. A credible view that</w:t>
      </w:r>
      <w:r>
        <w:t xml:space="preserve"> </w:t>
      </w:r>
      <w:r>
        <w:rPr>
          <w:b/>
          <w:bCs/>
        </w:rPr>
        <w:t xml:space="preserve">industry supply reductions can support lumber pricing despite subdued demand</w:t>
      </w:r>
      <w:r>
        <w:t xml:space="preserve"> </w:t>
      </w:r>
      <w:r>
        <w:t xml:space="preserve">could be sufficient, especially given Weyerhaeuser’s operating leverage. The company estimates that a $10 per thousand-board-feet change in lumber realization affects annual EBITDA by roughly $50 million under normal conditions.</w:t>
      </w:r>
    </w:p>
    <w:bookmarkEnd w:id="20"/>
    <w:bookmarkStart w:id="21" w:name="X62e61b69b4604d3be5941ced79b87c880bfddba"/>
    <w:p>
      <w:pPr>
        <w:pStyle w:val="Heading2"/>
      </w:pPr>
      <w:r>
        <w:t xml:space="preserve">Cash flow, leverage and capital allocation</w:t>
      </w:r>
    </w:p>
    <w:p>
      <w:pPr>
        <w:pStyle w:val="FirstParagraph"/>
      </w:pPr>
      <w:r>
        <w:t xml:space="preserve">Q1 cash generation was seasonally weak: operating cash flow was $52 million and Adjusted FAD was negative $58 million. The company ended March with roughly $300 million of cash and $5.4 billion of debt.</w:t>
      </w:r>
    </w:p>
    <w:p>
      <w:pPr>
        <w:pStyle w:val="BodyText"/>
      </w:pPr>
      <w:r>
        <w:t xml:space="preserve">Q2 should show a substantial seasonal improvement, so investors should examine:</w:t>
      </w:r>
    </w:p>
    <w:p>
      <w:pPr>
        <w:pStyle w:val="Compact"/>
        <w:numPr>
          <w:ilvl w:val="0"/>
          <w:numId w:val="1009"/>
        </w:numPr>
      </w:pPr>
      <w:r>
        <w:t xml:space="preserve">Operating cash flow and working-capital release.</w:t>
      </w:r>
    </w:p>
    <w:p>
      <w:pPr>
        <w:pStyle w:val="Compact"/>
        <w:numPr>
          <w:ilvl w:val="0"/>
          <w:numId w:val="1009"/>
        </w:numPr>
      </w:pPr>
      <w:r>
        <w:t xml:space="preserve">Year-to-date Adjusted FAD.</w:t>
      </w:r>
    </w:p>
    <w:p>
      <w:pPr>
        <w:pStyle w:val="Compact"/>
        <w:numPr>
          <w:ilvl w:val="0"/>
          <w:numId w:val="1009"/>
        </w:numPr>
      </w:pPr>
      <w:r>
        <w:t xml:space="preserve">Capital spending on the Monticello TimberStrand facility.</w:t>
      </w:r>
    </w:p>
    <w:p>
      <w:pPr>
        <w:pStyle w:val="Compact"/>
        <w:numPr>
          <w:ilvl w:val="0"/>
          <w:numId w:val="1009"/>
        </w:numPr>
      </w:pPr>
      <w:r>
        <w:t xml:space="preserve">Share repurchases.</w:t>
      </w:r>
    </w:p>
    <w:p>
      <w:pPr>
        <w:pStyle w:val="Compact"/>
        <w:numPr>
          <w:ilvl w:val="0"/>
          <w:numId w:val="1009"/>
        </w:numPr>
      </w:pPr>
      <w:r>
        <w:t xml:space="preserve">Net debt and leverage.</w:t>
      </w:r>
    </w:p>
    <w:p>
      <w:pPr>
        <w:pStyle w:val="Compact"/>
        <w:numPr>
          <w:ilvl w:val="0"/>
          <w:numId w:val="1009"/>
        </w:numPr>
      </w:pPr>
      <w:r>
        <w:t xml:space="preserve">Any change to the targeted</w:t>
      </w:r>
      <w:r>
        <w:t xml:space="preserve"> </w:t>
      </w:r>
      <w:r>
        <w:rPr>
          <w:b/>
          <w:bCs/>
        </w:rPr>
        <w:t xml:space="preserve">75%–80% annual Adjusted FAD payout</w:t>
      </w:r>
      <w:r>
        <w:t xml:space="preserve">.</w:t>
      </w:r>
    </w:p>
    <w:p>
      <w:pPr>
        <w:pStyle w:val="FirstParagraph"/>
      </w:pPr>
      <w:r>
        <w:t xml:space="preserve">The Monticello project remains strategically important but capital intensive: Weyerhaeuser expects roughly $300 million of project spending in 2026, separate from its normal capital program. Management’s longer-term plan calls for the facility to begin operating in 2027 and eventually contribute more than $100 million of annual Adjusted EBITDA at full capacity.</w:t>
      </w:r>
    </w:p>
    <w:p>
      <w:pPr>
        <w:pStyle w:val="BodyText"/>
      </w:pPr>
      <w:r>
        <w:t xml:space="preserve">Given trough-level earnings and elevated trailing leverage, aggressive repurchases are unlikely to be the main near-term catalyst. Investors will probably favor balance-sheet discipline and evidence that the current dividend remains comfortably supported.</w:t>
      </w:r>
    </w:p>
    <w:bookmarkEnd w:id="21"/>
    <w:bookmarkStart w:id="25" w:name="bull-base-and-bear-cases"/>
    <w:p>
      <w:pPr>
        <w:pStyle w:val="Heading2"/>
      </w:pPr>
      <w:r>
        <w:t xml:space="preserve">Bull, base and bear cases</w:t>
      </w:r>
    </w:p>
    <w:bookmarkStart w:id="22" w:name="bull-case"/>
    <w:p>
      <w:pPr>
        <w:pStyle w:val="Heading3"/>
      </w:pPr>
      <w:r>
        <w:t xml:space="preserve">Bull case</w:t>
      </w:r>
    </w:p>
    <w:p>
      <w:pPr>
        <w:pStyle w:val="Compact"/>
        <w:numPr>
          <w:ilvl w:val="0"/>
          <w:numId w:val="1010"/>
        </w:numPr>
      </w:pPr>
      <w:r>
        <w:t xml:space="preserve">Adjusted EPS of</w:t>
      </w:r>
      <w:r>
        <w:t xml:space="preserve"> </w:t>
      </w:r>
      <w:r>
        <w:rPr>
          <w:b/>
          <w:bCs/>
        </w:rPr>
        <w:t xml:space="preserve">$0.10 or better</w:t>
      </w:r>
      <w:r>
        <w:t xml:space="preserve">.</w:t>
      </w:r>
    </w:p>
    <w:p>
      <w:pPr>
        <w:pStyle w:val="Compact"/>
        <w:numPr>
          <w:ilvl w:val="0"/>
          <w:numId w:val="1010"/>
        </w:numPr>
      </w:pPr>
      <w:r>
        <w:t xml:space="preserve">Adjusted EBITDA above</w:t>
      </w:r>
      <w:r>
        <w:t xml:space="preserve"> </w:t>
      </w:r>
      <w:r>
        <w:rPr>
          <w:b/>
          <w:bCs/>
        </w:rPr>
        <w:t xml:space="preserve">$300 million</w:t>
      </w:r>
      <w:r>
        <w:t xml:space="preserve">.</w:t>
      </w:r>
    </w:p>
    <w:p>
      <w:pPr>
        <w:pStyle w:val="Compact"/>
        <w:numPr>
          <w:ilvl w:val="0"/>
          <w:numId w:val="1010"/>
        </w:numPr>
      </w:pPr>
      <w:r>
        <w:t xml:space="preserve">Wood Products EBITDA above approximately $125 million.</w:t>
      </w:r>
    </w:p>
    <w:p>
      <w:pPr>
        <w:pStyle w:val="Compact"/>
        <w:numPr>
          <w:ilvl w:val="0"/>
          <w:numId w:val="1010"/>
        </w:numPr>
      </w:pPr>
      <w:r>
        <w:t xml:space="preserve">Transportation constraints resolved by quarter-end.</w:t>
      </w:r>
    </w:p>
    <w:p>
      <w:pPr>
        <w:pStyle w:val="Compact"/>
        <w:numPr>
          <w:ilvl w:val="0"/>
          <w:numId w:val="1010"/>
        </w:numPr>
      </w:pPr>
      <w:r>
        <w:t xml:space="preserve">Lumber realizations remain healthy into July.</w:t>
      </w:r>
    </w:p>
    <w:p>
      <w:pPr>
        <w:pStyle w:val="Compact"/>
        <w:numPr>
          <w:ilvl w:val="0"/>
          <w:numId w:val="1010"/>
        </w:numPr>
      </w:pPr>
      <w:r>
        <w:t xml:space="preserve">Timberlands meets or beats the flat sequential guide.</w:t>
      </w:r>
    </w:p>
    <w:p>
      <w:pPr>
        <w:pStyle w:val="Compact"/>
        <w:numPr>
          <w:ilvl w:val="0"/>
          <w:numId w:val="1010"/>
        </w:numPr>
      </w:pPr>
      <w:r>
        <w:t xml:space="preserve">Full-year Strategic Land Solutions guidance is reaffirmed.</w:t>
      </w:r>
    </w:p>
    <w:p>
      <w:pPr>
        <w:pStyle w:val="Compact"/>
        <w:numPr>
          <w:ilvl w:val="0"/>
          <w:numId w:val="1010"/>
        </w:numPr>
      </w:pPr>
      <w:r>
        <w:t xml:space="preserve">Strong operating cash flow and modest repurchases.</w:t>
      </w:r>
    </w:p>
    <w:bookmarkEnd w:id="22"/>
    <w:bookmarkStart w:id="23" w:name="base-case"/>
    <w:p>
      <w:pPr>
        <w:pStyle w:val="Heading3"/>
      </w:pPr>
      <w:r>
        <w:t xml:space="preserve">Base case</w:t>
      </w:r>
    </w:p>
    <w:p>
      <w:pPr>
        <w:pStyle w:val="Compact"/>
        <w:numPr>
          <w:ilvl w:val="0"/>
          <w:numId w:val="1011"/>
        </w:numPr>
      </w:pPr>
      <w:r>
        <w:t xml:space="preserve">Adjusted EPS around</w:t>
      </w:r>
      <w:r>
        <w:t xml:space="preserve"> </w:t>
      </w:r>
      <m:oMath>
        <m:r>
          <m:t>0.08</m:t>
        </m:r>
        <m:r>
          <m:rPr>
            <m:sty m:val="p"/>
          </m:rPr>
          <m:t>–</m:t>
        </m:r>
      </m:oMath>
      <w:r>
        <w:rPr>
          <w:b/>
          <w:bCs/>
        </w:rPr>
        <w:t xml:space="preserve">0.10</w:t>
      </w:r>
      <w:r>
        <w:t xml:space="preserve">.</w:t>
      </w:r>
    </w:p>
    <w:p>
      <w:pPr>
        <w:pStyle w:val="Compact"/>
        <w:numPr>
          <w:ilvl w:val="0"/>
          <w:numId w:val="1011"/>
        </w:numPr>
      </w:pPr>
      <w:r>
        <w:t xml:space="preserve">Adjusted EBITDA around</w:t>
      </w:r>
      <w:r>
        <w:t xml:space="preserve"> </w:t>
      </w:r>
      <m:oMath>
        <m:r>
          <m:t>285</m:t>
        </m:r>
        <m:r>
          <m:t>m</m:t>
        </m:r>
        <m:r>
          <m:t>i</m:t>
        </m:r>
        <m:r>
          <m:t>l</m:t>
        </m:r>
        <m:r>
          <m:t>l</m:t>
        </m:r>
        <m:r>
          <m:t>i</m:t>
        </m:r>
        <m:r>
          <m:t>o</m:t>
        </m:r>
        <m:r>
          <m:t>n</m:t>
        </m:r>
        <m:r>
          <m:rPr>
            <m:sty m:val="p"/>
          </m:rPr>
          <m:t>–</m:t>
        </m:r>
      </m:oMath>
      <w:r>
        <w:rPr>
          <w:b/>
          <w:bCs/>
        </w:rPr>
        <w:t xml:space="preserve">300 million</w:t>
      </w:r>
      <w:r>
        <w:t xml:space="preserve">.</w:t>
      </w:r>
    </w:p>
    <w:p>
      <w:pPr>
        <w:pStyle w:val="Compact"/>
        <w:numPr>
          <w:ilvl w:val="0"/>
          <w:numId w:val="1011"/>
        </w:numPr>
      </w:pPr>
      <w:r>
        <w:t xml:space="preserve">Wood Products shows strong sequential improvement but retains cost pressure.</w:t>
      </w:r>
    </w:p>
    <w:p>
      <w:pPr>
        <w:pStyle w:val="Compact"/>
        <w:numPr>
          <w:ilvl w:val="0"/>
          <w:numId w:val="1011"/>
        </w:numPr>
      </w:pPr>
      <w:r>
        <w:t xml:space="preserve">Housing remains subdued, with no major deterioration.</w:t>
      </w:r>
    </w:p>
    <w:p>
      <w:pPr>
        <w:pStyle w:val="Compact"/>
        <w:numPr>
          <w:ilvl w:val="0"/>
          <w:numId w:val="1011"/>
        </w:numPr>
      </w:pPr>
      <w:r>
        <w:t xml:space="preserve">Timberlands and Strategic Land Solutions perform near guidance.</w:t>
      </w:r>
    </w:p>
    <w:p>
      <w:pPr>
        <w:pStyle w:val="Compact"/>
        <w:numPr>
          <w:ilvl w:val="0"/>
          <w:numId w:val="1011"/>
        </w:numPr>
      </w:pPr>
      <w:r>
        <w:t xml:space="preserve">Management offers cautious Q3 commentary without changing long-term targets.</w:t>
      </w:r>
    </w:p>
    <w:bookmarkEnd w:id="23"/>
    <w:bookmarkStart w:id="24" w:name="bear-case"/>
    <w:p>
      <w:pPr>
        <w:pStyle w:val="Heading3"/>
      </w:pPr>
      <w:r>
        <w:t xml:space="preserve">Bear case</w:t>
      </w:r>
    </w:p>
    <w:p>
      <w:pPr>
        <w:pStyle w:val="Compact"/>
        <w:numPr>
          <w:ilvl w:val="0"/>
          <w:numId w:val="1012"/>
        </w:numPr>
      </w:pPr>
      <w:r>
        <w:t xml:space="preserve">Adjusted EPS below</w:t>
      </w:r>
      <w:r>
        <w:t xml:space="preserve"> </w:t>
      </w:r>
      <w:r>
        <w:rPr>
          <w:b/>
          <w:bCs/>
        </w:rPr>
        <w:t xml:space="preserve">$0.07</w:t>
      </w:r>
      <w:r>
        <w:t xml:space="preserve">.</w:t>
      </w:r>
    </w:p>
    <w:p>
      <w:pPr>
        <w:pStyle w:val="Compact"/>
        <w:numPr>
          <w:ilvl w:val="0"/>
          <w:numId w:val="1012"/>
        </w:numPr>
      </w:pPr>
      <w:r>
        <w:t xml:space="preserve">Adjusted EBITDA below approximately</w:t>
      </w:r>
      <w:r>
        <w:t xml:space="preserve"> </w:t>
      </w:r>
      <w:r>
        <w:rPr>
          <w:b/>
          <w:bCs/>
        </w:rPr>
        <w:t xml:space="preserve">$275 million</w:t>
      </w:r>
      <w:r>
        <w:t xml:space="preserve">.</w:t>
      </w:r>
    </w:p>
    <w:p>
      <w:pPr>
        <w:pStyle w:val="Compact"/>
        <w:numPr>
          <w:ilvl w:val="0"/>
          <w:numId w:val="1012"/>
        </w:numPr>
      </w:pPr>
      <w:r>
        <w:t xml:space="preserve">Wood Products fails to capture most of the lumber-price uplift.</w:t>
      </w:r>
    </w:p>
    <w:p>
      <w:pPr>
        <w:pStyle w:val="Compact"/>
        <w:numPr>
          <w:ilvl w:val="0"/>
          <w:numId w:val="1012"/>
        </w:numPr>
      </w:pPr>
      <w:r>
        <w:t xml:space="preserve">Transportation and production constraints continue into Q3.</w:t>
      </w:r>
    </w:p>
    <w:p>
      <w:pPr>
        <w:pStyle w:val="Compact"/>
        <w:numPr>
          <w:ilvl w:val="0"/>
          <w:numId w:val="1012"/>
        </w:numPr>
      </w:pPr>
      <w:r>
        <w:t xml:space="preserve">July lumber or OSB order files weaken sharply.</w:t>
      </w:r>
    </w:p>
    <w:p>
      <w:pPr>
        <w:pStyle w:val="Compact"/>
        <w:numPr>
          <w:ilvl w:val="0"/>
          <w:numId w:val="1012"/>
        </w:numPr>
      </w:pPr>
      <w:r>
        <w:t xml:space="preserve">Strategic Land Solutions’ $425 million full-year guidance is reduced.</w:t>
      </w:r>
    </w:p>
    <w:p>
      <w:pPr>
        <w:pStyle w:val="Compact"/>
        <w:numPr>
          <w:ilvl w:val="0"/>
          <w:numId w:val="1012"/>
        </w:numPr>
      </w:pPr>
      <w:r>
        <w:t xml:space="preserve">Cash generation disappoints while capital spending remains elevated.</w:t>
      </w:r>
    </w:p>
    <w:bookmarkEnd w:id="24"/>
    <w:bookmarkEnd w:id="25"/>
    <w:bookmarkStart w:id="26" w:name="bottom-line"/>
    <w:p>
      <w:pPr>
        <w:pStyle w:val="Heading2"/>
      </w:pPr>
      <w:r>
        <w:t xml:space="preserve">Bottom line</w:t>
      </w:r>
    </w:p>
    <w:p>
      <w:pPr>
        <w:pStyle w:val="FirstParagraph"/>
      </w:pPr>
      <w:r>
        <w:t xml:space="preserve">Weyerhaeuser has already disclosed the quarter’s central tension:</w:t>
      </w:r>
      <w:r>
        <w:t xml:space="preserve"> </w:t>
      </w:r>
      <w:r>
        <w:rPr>
          <w:b/>
          <w:bCs/>
        </w:rPr>
        <w:t xml:space="preserve">higher lumber pricing was offset in part by lower production and higher costs</w:t>
      </w:r>
      <w:r>
        <w:t xml:space="preserve">. Consequently, the headline EPS beat or miss may matter less than the Wood Products EBITDA bridge and Q3 operating commentary.</w:t>
      </w:r>
    </w:p>
    <w:p>
      <w:pPr>
        <w:pStyle w:val="BodyText"/>
      </w:pPr>
      <w:r>
        <w:t xml:space="preserve">The most constructive report would demonstrate that:</w:t>
      </w:r>
    </w:p>
    <w:p>
      <w:pPr>
        <w:pStyle w:val="Compact"/>
        <w:numPr>
          <w:ilvl w:val="0"/>
          <w:numId w:val="1013"/>
        </w:numPr>
      </w:pPr>
      <w:r>
        <w:t xml:space="preserve">The June production and transportation problems were temporary.</w:t>
      </w:r>
    </w:p>
    <w:p>
      <w:pPr>
        <w:pStyle w:val="Compact"/>
        <w:numPr>
          <w:ilvl w:val="0"/>
          <w:numId w:val="1013"/>
        </w:numPr>
      </w:pPr>
      <w:r>
        <w:t xml:space="preserve">Weyerhaeuser retained a meaningful portion of the lumber-price uplift.</w:t>
      </w:r>
    </w:p>
    <w:p>
      <w:pPr>
        <w:pStyle w:val="Compact"/>
        <w:numPr>
          <w:ilvl w:val="0"/>
          <w:numId w:val="1013"/>
        </w:numPr>
      </w:pPr>
      <w:r>
        <w:t xml:space="preserve">Timberlands remained stable.</w:t>
      </w:r>
    </w:p>
    <w:p>
      <w:pPr>
        <w:pStyle w:val="Compact"/>
        <w:numPr>
          <w:ilvl w:val="0"/>
          <w:numId w:val="1013"/>
        </w:numPr>
      </w:pPr>
      <w:r>
        <w:t xml:space="preserve">Strategic Land Solutions is still on track for approximately $425 million of full-year EBITDA.</w:t>
      </w:r>
    </w:p>
    <w:p>
      <w:pPr>
        <w:pStyle w:val="Compact"/>
        <w:numPr>
          <w:ilvl w:val="0"/>
          <w:numId w:val="1013"/>
        </w:numPr>
      </w:pPr>
      <w:r>
        <w:t xml:space="preserve">Seasonal cash generation improved without increasing balance-sheet risk.</w:t>
      </w:r>
    </w:p>
    <w:p>
      <w:pPr>
        <w:pStyle w:val="FirstParagraph"/>
      </w:pPr>
      <w:r>
        <w:t xml:space="preserve">With the stock recently trading close to where it stood around the Q1 report, the market does not appear to be pricing in a dramatic earnings recovery. That creates room for upside if execution normalized—but a cautious second-half commodity outlook could quickly overshadow an in-line Q2 result.</w:t>
      </w:r>
    </w:p>
    <w:bookmarkEnd w:id="26"/>
    <w:bookmarkEnd w:id="2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9" Target="https://investor.weyerhaeuser.com/2026-06-25-Weyerhaeuser-to-Release-Second-Quarter-Results-on-July-30?utm_source=openai" TargetMode="External" /><Relationship Type="http://schemas.openxmlformats.org/officeDocument/2006/relationships/hyperlink" Id="rId11" Target="https://www.marketbeat.com/earnings/reports/2026-7-30-weyerhaeuser-stock/?utm_source=openai" TargetMode="External" /><Relationship Type="http://schemas.openxmlformats.org/officeDocument/2006/relationships/hyperlink" Id="rId14" Target="https://www.sec.gov/Archives/edgar/data/106535/000010653526000007/wy-20260625.htm?utm_source=openai" TargetMode="External" /><Relationship Type="http://schemas.openxmlformats.org/officeDocument/2006/relationships/hyperlink" Id="rId17" Target="https://www.sec.gov/Archives/edgar/data/106535/000119312526197281/wy-ex99_1.htm?utm_source=openai" TargetMode="External" /></Relationships>
</file>

<file path=word/_rels/footnotes.xml.rels><?xml version="1.0" encoding="UTF-8"?><Relationships xmlns="http://schemas.openxmlformats.org/package/2006/relationships"><Relationship Type="http://schemas.openxmlformats.org/officeDocument/2006/relationships/hyperlink" Id="rId9" Target="https://investor.weyerhaeuser.com/2026-06-25-Weyerhaeuser-to-Release-Second-Quarter-Results-on-July-30?utm_source=openai" TargetMode="External" /><Relationship Type="http://schemas.openxmlformats.org/officeDocument/2006/relationships/hyperlink" Id="rId11" Target="https://www.marketbeat.com/earnings/reports/2026-7-30-weyerhaeuser-stock/?utm_source=openai" TargetMode="External" /><Relationship Type="http://schemas.openxmlformats.org/officeDocument/2006/relationships/hyperlink" Id="rId14" Target="https://www.sec.gov/Archives/edgar/data/106535/000010653526000007/wy-20260625.htm?utm_source=openai" TargetMode="External" /><Relationship Type="http://schemas.openxmlformats.org/officeDocument/2006/relationships/hyperlink" Id="rId17" Target="https://www.sec.gov/Archives/edgar/data/106535/000119312526197281/wy-ex99_1.htm?utm_source=opena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2026-07-29T20:05:13Z</dcterms:created>
  <dcterms:modified xsi:type="dcterms:W3CDTF">2026-07-29T20:05:13Z</dcterms:modified>
</cp:coreProperties>
</file>

<file path=docProps/custom.xml><?xml version="1.0" encoding="utf-8"?>
<Properties xmlns="http://schemas.openxmlformats.org/officeDocument/2006/custom-properties" xmlns:vt="http://schemas.openxmlformats.org/officeDocument/2006/docPropsVTypes"/>
</file>