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y-earnings-predictions--2026-07-30"/>
    <w:p>
      <w:pPr>
        <w:pStyle w:val="Heading1"/>
      </w:pPr>
      <w:r>
        <w:t xml:space="preserve">WY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~$292 million vs. cons $286 million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Wood Products Adjusted EBITDA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~$124 million vs. cons $120 million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 before special items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~$0.10 vs. cons $0.09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Wood Products Adjusted EBITDA outlook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~$105 million vs. cons $122 million (2026Q3)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Strategic Land Solutions Adjusted EBITDA outlook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~$425 million vs. cons $423 million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Monticello TimberStrand capital spending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~$300 million vs. cons $300 million (FY2026)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-2.8%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-4.5% (FOLLOW-THROUGH)</w:t>
            </w:r>
          </w:p>
        </w:tc>
        <w:tc>
          <w:tcPr/>
          <w:p>
            <w:pPr>
              <w:pStyle w:val="Compact"/>
            </w:pPr>
            <w:r>
              <w:t xml:space="preserve">A modest 2Q beat is likely already reflected in the June lumber-realization disclosure, while a 2026Q3 Wood Products outlook of ~</w:t>
            </w:r>
            <m:oMath>
              <m:r>
                <m:t>105</m:t>
              </m:r>
              <m:r>
                <m:t>m</m:t>
              </m:r>
              <m:r>
                <m:t>i</m:t>
              </m:r>
              <m:r>
                <m:t>l</m:t>
              </m:r>
              <m:r>
                <m:t>l</m:t>
              </m:r>
              <m:r>
                <m:t>i</m:t>
              </m:r>
              <m:r>
                <m:t>o</m:t>
              </m:r>
              <m:r>
                <m:t>n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e</m:t>
              </m:r>
              <m:r>
                <m:t>n</m:t>
              </m:r>
              <m:r>
                <m:t>s</m:t>
              </m:r>
              <m:r>
                <m:t>u</m:t>
              </m:r>
              <m:r>
                <m:t>s</m:t>
              </m:r>
              <m:r>
                <m:t>o</m:t>
              </m:r>
              <m:r>
                <m:t>f</m:t>
              </m:r>
              <m:r>
                <m:t> </m:t>
              </m:r>
            </m:oMath>
            <w:r>
              <w:t xml:space="preserve">122 million implies lower commodity-price/volume expectations and pulls out-period EBITDA and EPS estimates down despite maintained FY2026 SLS guidance of ~</w:t>
            </w:r>
            <m:oMath>
              <m:r>
                <m:t>425</m:t>
              </m:r>
              <m:r>
                <m:t>m</m:t>
              </m:r>
              <m:r>
                <m:t>i</m:t>
              </m:r>
              <m:r>
                <m:t>l</m:t>
              </m:r>
              <m:r>
                <m:t>l</m:t>
              </m:r>
              <m:r>
                <m:t>i</m:t>
              </m:r>
              <m:r>
                <m:t>o</m:t>
              </m:r>
              <m:r>
                <m:t>n</m:t>
              </m:r>
              <m:r>
                <m:t>v</m:t>
              </m:r>
              <m:r>
                <m:t>e</m:t>
              </m:r>
              <m:r>
                <m:t>r</m:t>
              </m:r>
              <m:r>
                <m:t>s</m:t>
              </m:r>
              <m:r>
                <m:t>u</m:t>
              </m:r>
              <m:r>
                <m:t>s</m:t>
              </m:r>
              <m:r>
                <m:t> </m:t>
              </m:r>
            </m:oMath>
            <w:r>
              <w:t xml:space="preserve">423 million.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2026-07-29T20:05:46Z</dcterms:created>
  <dcterms:modified xsi:type="dcterms:W3CDTF">2026-07-29T20:05:46Z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