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5" w:name="Xab29be50420440571de3276c5e4a5d5fd982bca"/>
    <w:p>
      <w:pPr>
        <w:pStyle w:val="Heading1"/>
      </w:pPr>
      <w:r>
        <w:t xml:space="preserve">Weyerhaeuser (NYSE: WY) — 2Q26 Earnings Preview</w:t>
      </w:r>
    </w:p>
    <w:p>
      <w:pPr>
        <w:pStyle w:val="FirstParagraph"/>
      </w:pPr>
      <w:r>
        <w:rPr>
          <w:b/>
          <w:bCs/>
        </w:rPr>
        <w:t xml:space="preserve">Event:</w:t>
      </w:r>
      <w:r>
        <w:t xml:space="preserve"> </w:t>
      </w:r>
      <w:r>
        <w:t xml:space="preserve">July 30, 2026</w:t>
      </w:r>
      <w:r>
        <w:br/>
      </w:r>
      <w:r>
        <w:rPr>
          <w:b/>
          <w:bCs/>
        </w:rPr>
        <w:t xml:space="preserve">Data through:</w:t>
      </w:r>
      <w:r>
        <w:t xml:space="preserve"> </w:t>
      </w:r>
      <w:r>
        <w:t xml:space="preserve">July 29, 2026 close</w:t>
      </w:r>
    </w:p>
    <w:bookmarkStart w:id="9" w:name="bottom-line"/>
    <w:p>
      <w:pPr>
        <w:pStyle w:val="Heading2"/>
      </w:pPr>
      <w:r>
        <w:t xml:space="preserve">Bottom line</w:t>
      </w:r>
    </w:p>
    <w:p>
      <w:pPr>
        <w:pStyle w:val="FirstParagraph"/>
      </w:pPr>
      <w:r>
        <w:t xml:space="preserve">WY enters 2Q26 with the quarter’s major moving pieces</w:t>
      </w:r>
      <w:r>
        <w:t xml:space="preserve"> </w:t>
      </w:r>
      <w:r>
        <w:rPr>
          <w:b/>
          <w:bCs/>
        </w:rPr>
        <w:t xml:space="preserve">largely pre-announced</w:t>
      </w:r>
      <w:r>
        <w:t xml:space="preserve">: a meaningful lumber-price tailwind, offset partly by a late-June reduction to Wood Products’ underlying outlook due to transportation-related production constraints, lower lumber volumes and higher unit costs. The most important question is therefore not simply whether WY meets the reported quarter’s earnings number—it is whether the company can demonstrate that the June operational issue was temporary while preserving confidence in a stronger second-half Wood Products earnings setup.</w:t>
      </w:r>
    </w:p>
    <w:p>
      <w:pPr>
        <w:pStyle w:val="BodyText"/>
      </w:pPr>
      <w:r>
        <w:t xml:space="preserve">The cleanest read-through is:</w:t>
      </w:r>
    </w:p>
    <w:p>
      <w:pPr>
        <w:pStyle w:val="Compact"/>
        <w:numPr>
          <w:ilvl w:val="0"/>
          <w:numId w:val="1001"/>
        </w:numPr>
      </w:pPr>
      <w:r>
        <w:rPr>
          <w:b/>
          <w:bCs/>
        </w:rPr>
        <w:t xml:space="preserve">Lumber realization strength should drive a material sequential increase in Wood Products EBITDA.</w:t>
      </w:r>
    </w:p>
    <w:p>
      <w:pPr>
        <w:pStyle w:val="Compact"/>
        <w:numPr>
          <w:ilvl w:val="0"/>
          <w:numId w:val="1001"/>
        </w:numPr>
      </w:pPr>
      <w:r>
        <w:rPr>
          <w:b/>
          <w:bCs/>
        </w:rPr>
        <w:t xml:space="preserve">Strategic Land Solutions (SLS) should step down sharply</w:t>
      </w:r>
      <w:r>
        <w:t xml:space="preserve"> </w:t>
      </w:r>
      <w:r>
        <w:t xml:space="preserve">versus 1Q because the $94 million Florida conservation-easement transaction does not recur.</w:t>
      </w:r>
    </w:p>
    <w:p>
      <w:pPr>
        <w:pStyle w:val="Compact"/>
        <w:numPr>
          <w:ilvl w:val="0"/>
          <w:numId w:val="1001"/>
        </w:numPr>
      </w:pPr>
      <w:r>
        <w:rPr>
          <w:b/>
          <w:bCs/>
        </w:rPr>
        <w:t xml:space="preserve">Timberlands should be broadly stable sequentially</w:t>
      </w:r>
      <w:r>
        <w:t xml:space="preserve">, but remain below last year amid softer Western export conditions, elevated freight/fuel costs and still-muted Southern log markets.</w:t>
      </w:r>
    </w:p>
    <w:p>
      <w:pPr>
        <w:pStyle w:val="Compact"/>
        <w:numPr>
          <w:ilvl w:val="0"/>
          <w:numId w:val="1001"/>
        </w:numPr>
      </w:pPr>
      <w:r>
        <w:t xml:space="preserve">The market will focus on</w:t>
      </w:r>
      <w:r>
        <w:t xml:space="preserve"> </w:t>
      </w:r>
      <w:r>
        <w:rPr>
          <w:b/>
          <w:bCs/>
        </w:rPr>
        <w:t xml:space="preserve">3Q product-price realization, EWP demand, transportation costs, and the durability of the company’s full-year SLS EBITDA guide of roughly $425 million.</w:t>
      </w:r>
    </w:p>
    <w:bookmarkEnd w:id="9"/>
    <w:bookmarkStart w:id="11" w:name="what-wy-has-effectively-guided-to"/>
    <w:p>
      <w:pPr>
        <w:pStyle w:val="Heading2"/>
      </w:pPr>
      <w:r>
        <w:t xml:space="preserve">What WY has effectively guided to</w:t>
      </w:r>
    </w:p>
    <w:p>
      <w:pPr>
        <w:pStyle w:val="FirstParagraph"/>
      </w:pPr>
      <w:r>
        <w:t xml:space="preserve">Management’s original 2Q outlook, issued with 1Q results, called for:</w:t>
      </w:r>
    </w:p>
    <w:p>
      <w:pPr>
        <w:pStyle w:val="Compact"/>
        <w:numPr>
          <w:ilvl w:val="0"/>
          <w:numId w:val="1002"/>
        </w:numPr>
      </w:pPr>
      <w:r>
        <w:rPr>
          <w:b/>
          <w:bCs/>
        </w:rPr>
        <w:t xml:space="preserve">Timberlands:</w:t>
      </w:r>
      <w:r>
        <w:t xml:space="preserve"> </w:t>
      </w:r>
      <w:r>
        <w:t xml:space="preserve">roughly flat versus 1Q.</w:t>
      </w:r>
    </w:p>
    <w:p>
      <w:pPr>
        <w:pStyle w:val="Compact"/>
        <w:numPr>
          <w:ilvl w:val="0"/>
          <w:numId w:val="1002"/>
        </w:numPr>
      </w:pPr>
      <w:r>
        <w:rPr>
          <w:b/>
          <w:bCs/>
        </w:rPr>
        <w:t xml:space="preserve">SLS:</w:t>
      </w:r>
      <w:r>
        <w:t xml:space="preserve"> </w:t>
      </w:r>
      <w:r>
        <w:t xml:space="preserve">approximately</w:t>
      </w:r>
      <w:r>
        <w:t xml:space="preserve"> </w:t>
      </w:r>
      <w:r>
        <w:rPr>
          <w:b/>
          <w:bCs/>
        </w:rPr>
        <w:t xml:space="preserve">$70 million lower Adjusted EBITDA</w:t>
      </w:r>
      <w:r>
        <w:t xml:space="preserve"> </w:t>
      </w:r>
      <w:r>
        <w:t xml:space="preserve">versus 1Q, reflecting the absence of the large conservation easement, partly offset by better Real Estate timing/mix.</w:t>
      </w:r>
    </w:p>
    <w:p>
      <w:pPr>
        <w:pStyle w:val="Compact"/>
        <w:numPr>
          <w:ilvl w:val="0"/>
          <w:numId w:val="1002"/>
        </w:numPr>
      </w:pPr>
      <w:r>
        <w:rPr>
          <w:b/>
          <w:bCs/>
        </w:rPr>
        <w:t xml:space="preserve">Wood Products:</w:t>
      </w:r>
      <w:r>
        <w:t xml:space="preserve"> </w:t>
      </w:r>
      <w:r>
        <w:t xml:space="preserve">initially expected to be comparable with 1Q before lumber and OSB price realization changes.</w:t>
      </w:r>
    </w:p>
    <w:p>
      <w:pPr>
        <w:pStyle w:val="FirstParagraph"/>
      </w:pPr>
      <w:r>
        <w:t xml:space="preserve">On June 25, WY updated its outlook:</w:t>
      </w:r>
    </w:p>
    <w:p>
      <w:pPr>
        <w:pStyle w:val="Compact"/>
        <w:numPr>
          <w:ilvl w:val="0"/>
          <w:numId w:val="1003"/>
        </w:numPr>
      </w:pPr>
      <w:r>
        <w:rPr>
          <w:b/>
          <w:bCs/>
        </w:rPr>
        <w:t xml:space="preserve">Timberlands and SLS:</w:t>
      </w:r>
      <w:r>
        <w:t xml:space="preserve"> </w:t>
      </w:r>
      <w:r>
        <w:t xml:space="preserve">unchanged.</w:t>
      </w:r>
    </w:p>
    <w:p>
      <w:pPr>
        <w:pStyle w:val="Compact"/>
        <w:numPr>
          <w:ilvl w:val="0"/>
          <w:numId w:val="1003"/>
        </w:numPr>
      </w:pPr>
      <w:r>
        <w:rPr>
          <w:b/>
          <w:bCs/>
        </w:rPr>
        <w:t xml:space="preserve">Wood Products:</w:t>
      </w:r>
      <w:r>
        <w:t xml:space="preserve"> </w:t>
      </w:r>
      <w:r>
        <w:t xml:space="preserve">now expected to be</w:t>
      </w:r>
      <w:r>
        <w:t xml:space="preserve"> </w:t>
      </w:r>
      <w:r>
        <w:rPr>
          <w:b/>
          <w:bCs/>
        </w:rPr>
        <w:t xml:space="preserve">approximately $20 million lower than 1Q, excluding lumber and OSB realization changes</w:t>
      </w:r>
      <w:r>
        <w:t xml:space="preserve">, due to lower lumber volumes and higher manufacturing costs, partly driven by transportation constraints.</w:t>
      </w:r>
    </w:p>
    <w:p>
      <w:pPr>
        <w:pStyle w:val="Compact"/>
        <w:numPr>
          <w:ilvl w:val="0"/>
          <w:numId w:val="1003"/>
        </w:numPr>
      </w:pPr>
      <w:r>
        <w:t xml:space="preserve">As of June 19, WY estimated that lumber realizations were running about</w:t>
      </w:r>
      <w:r>
        <w:t xml:space="preserve"> </w:t>
      </w:r>
      <m:oMath>
        <m:r>
          <m:t>60</m:t>
        </m:r>
        <m:r>
          <m:rPr>
            <m:sty m:val="p"/>
          </m:rPr>
          <m:t>/</m:t>
        </m:r>
        <m:r>
          <m:t>M</m:t>
        </m:r>
        <m:r>
          <m:t>B</m:t>
        </m:r>
        <m:r>
          <m:t>F</m:t>
        </m:r>
        <m:r>
          <m:t>a</m:t>
        </m:r>
        <m:r>
          <m:t>b</m:t>
        </m:r>
        <m:r>
          <m:t>o</m:t>
        </m:r>
        <m:r>
          <m:t>v</m:t>
        </m:r>
        <m:r>
          <m:t>e</m:t>
        </m:r>
        <m:r>
          <m:t>1</m:t>
        </m:r>
        <m:r>
          <m:t>Q</m:t>
        </m:r>
        <m:r>
          <m:t>a</m:t>
        </m:r>
        <m:r>
          <m:t>v</m:t>
        </m:r>
        <m:r>
          <m:t>e</m:t>
        </m:r>
        <m:r>
          <m:t>r</m:t>
        </m:r>
        <m:r>
          <m:t>a</m:t>
        </m:r>
        <m:r>
          <m:t>g</m:t>
        </m:r>
        <m:r>
          <m:t>e</m:t>
        </m:r>
        <m:r>
          <m:t>s</m:t>
        </m:r>
        <m:r>
          <m:rPr>
            <m:sty m:val="p"/>
          </m:rPr>
          <m:t>*</m:t>
        </m:r>
        <m:r>
          <m:rPr>
            <m:sty m:val="p"/>
          </m:rPr>
          <m:t>*</m:t>
        </m:r>
        <m:r>
          <m:rPr>
            <m:sty m:val="p"/>
          </m:rPr>
          <m:t>,</m:t>
        </m:r>
        <m:r>
          <m:t>t</m:t>
        </m:r>
        <m:r>
          <m:t>r</m:t>
        </m:r>
        <m:r>
          <m:t>a</m:t>
        </m:r>
        <m:r>
          <m:t>n</m:t>
        </m:r>
        <m:r>
          <m:t>s</m:t>
        </m:r>
        <m:r>
          <m:t>l</m:t>
        </m:r>
        <m:r>
          <m:t>a</m:t>
        </m:r>
        <m:r>
          <m:t>t</m:t>
        </m:r>
        <m:r>
          <m:t>i</m:t>
        </m:r>
        <m:r>
          <m:t>n</m:t>
        </m:r>
        <m:r>
          <m:t>g</m:t>
        </m:r>
        <m:r>
          <m:t>t</m:t>
        </m:r>
        <m:r>
          <m:t>o</m:t>
        </m:r>
        <m:r>
          <m:t>a</m:t>
        </m:r>
        <m:r>
          <m:t>n</m:t>
        </m:r>
        <m:r>
          <m:t>a</m:t>
        </m:r>
        <m:r>
          <m:t>p</m:t>
        </m:r>
        <m:r>
          <m:t>p</m:t>
        </m:r>
        <m:r>
          <m:t>r</m:t>
        </m:r>
        <m:r>
          <m:t>o</m:t>
        </m:r>
        <m:r>
          <m:t>x</m:t>
        </m:r>
        <m:r>
          <m:t>i</m:t>
        </m:r>
        <m:r>
          <m:t>m</m:t>
        </m:r>
        <m:r>
          <m:t>a</m:t>
        </m:r>
        <m:r>
          <m:t>t</m:t>
        </m:r>
        <m:r>
          <m:t>e</m:t>
        </m:r>
        <m:r>
          <m:t>l</m:t>
        </m:r>
        <m:r>
          <m:t>y</m:t>
        </m:r>
        <m:r>
          <m:rPr>
            <m:sty m:val="p"/>
          </m:rPr>
          <m:t>*</m:t>
        </m:r>
        <m:r>
          <m:rPr>
            <m:sty m:val="p"/>
          </m:rPr>
          <m:t>*</m:t>
        </m:r>
      </m:oMath>
      <w:r>
        <w:rPr>
          <w:b/>
          <w:bCs/>
        </w:rPr>
        <w:t xml:space="preserve">70 million sequential Lumber EBITDA benefit in 2Q</w:t>
      </w:r>
      <w:r>
        <w:t xml:space="preserve">. OSB realizations were approximately flat versus 1Q at that point.</w:t>
      </w:r>
    </w:p>
    <w:bookmarkStart w:id="10" w:name="implied-adjusted-ebitda-bridge"/>
    <w:p>
      <w:pPr>
        <w:pStyle w:val="Heading3"/>
      </w:pPr>
      <w:r>
        <w:t xml:space="preserve">Implied Adjusted EBITDA bridge</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 millions</w:t>
            </w:r>
          </w:p>
        </w:tc>
        <w:tc>
          <w:tcPr/>
          <w:p>
            <w:pPr>
              <w:pStyle w:val="Compact"/>
              <w:jc w:val="right"/>
            </w:pPr>
            <w:r>
              <w:t xml:space="preserve">1Q26 actual</w:t>
            </w:r>
          </w:p>
        </w:tc>
        <w:tc>
          <w:tcPr/>
          <w:p>
            <w:pPr>
              <w:pStyle w:val="Compact"/>
              <w:jc w:val="right"/>
            </w:pPr>
            <w:r>
              <w:t xml:space="preserve">2Q26 company-indicated direction</w:t>
            </w:r>
          </w:p>
        </w:tc>
        <w:tc>
          <w:tcPr/>
          <w:p>
            <w:pPr>
              <w:pStyle w:val="Compact"/>
              <w:jc w:val="right"/>
            </w:pPr>
            <w:r>
              <w:t xml:space="preserve">Approx. 2Q26 implied</w:t>
            </w:r>
          </w:p>
        </w:tc>
      </w:tr>
      <w:tr>
        <w:tc>
          <w:tcPr/>
          <w:p>
            <w:pPr>
              <w:pStyle w:val="Compact"/>
            </w:pPr>
            <w:r>
              <w:t xml:space="preserve">Timberlands</w:t>
            </w:r>
          </w:p>
        </w:tc>
        <w:tc>
          <w:tcPr/>
          <w:p>
            <w:pPr>
              <w:pStyle w:val="Compact"/>
              <w:jc w:val="right"/>
            </w:pPr>
            <w:r>
              <w:t xml:space="preserve">120</w:t>
            </w:r>
          </w:p>
        </w:tc>
        <w:tc>
          <w:tcPr/>
          <w:p>
            <w:pPr>
              <w:pStyle w:val="Compact"/>
              <w:jc w:val="right"/>
            </w:pPr>
            <w:r>
              <w:t xml:space="preserve">Comparable</w:t>
            </w:r>
          </w:p>
        </w:tc>
        <w:tc>
          <w:tcPr/>
          <w:p>
            <w:pPr>
              <w:pStyle w:val="Compact"/>
              <w:jc w:val="right"/>
            </w:pPr>
            <w:r>
              <w:t xml:space="preserve">~120</w:t>
            </w:r>
          </w:p>
        </w:tc>
      </w:tr>
      <w:tr>
        <w:tc>
          <w:tcPr/>
          <w:p>
            <w:pPr>
              <w:pStyle w:val="Compact"/>
            </w:pPr>
            <w:r>
              <w:t xml:space="preserve">Strategic Land Solutions</w:t>
            </w:r>
          </w:p>
        </w:tc>
        <w:tc>
          <w:tcPr/>
          <w:p>
            <w:pPr>
              <w:pStyle w:val="Compact"/>
              <w:jc w:val="right"/>
            </w:pPr>
            <w:r>
              <w:t xml:space="preserve">193</w:t>
            </w:r>
          </w:p>
        </w:tc>
        <w:tc>
          <w:tcPr/>
          <w:p>
            <w:pPr>
              <w:pStyle w:val="Compact"/>
              <w:jc w:val="right"/>
            </w:pPr>
            <w:r>
              <w:t xml:space="preserve">Down ~70</w:t>
            </w:r>
          </w:p>
        </w:tc>
        <w:tc>
          <w:tcPr/>
          <w:p>
            <w:pPr>
              <w:pStyle w:val="Compact"/>
              <w:jc w:val="right"/>
            </w:pPr>
            <w:r>
              <w:t xml:space="preserve">~123</w:t>
            </w:r>
          </w:p>
        </w:tc>
      </w:tr>
      <w:tr>
        <w:tc>
          <w:tcPr/>
          <w:p>
            <w:pPr>
              <w:pStyle w:val="Compact"/>
            </w:pPr>
            <w:r>
              <w:t xml:space="preserve">Wood Products</w:t>
            </w:r>
          </w:p>
        </w:tc>
        <w:tc>
          <w:tcPr/>
          <w:p>
            <w:pPr>
              <w:pStyle w:val="Compact"/>
              <w:jc w:val="right"/>
            </w:pPr>
            <w:r>
              <w:t xml:space="preserve">71</w:t>
            </w:r>
          </w:p>
        </w:tc>
        <w:tc>
          <w:tcPr/>
          <w:p>
            <w:pPr>
              <w:pStyle w:val="Compact"/>
              <w:jc w:val="right"/>
            </w:pPr>
            <w:r>
              <w:t xml:space="preserve">1Q less ~20, plus ~70 lumber-price benefit</w:t>
            </w:r>
          </w:p>
        </w:tc>
        <w:tc>
          <w:tcPr/>
          <w:p>
            <w:pPr>
              <w:pStyle w:val="Compact"/>
              <w:jc w:val="right"/>
            </w:pPr>
            <w:r>
              <w:t xml:space="preserve">~121</w:t>
            </w:r>
          </w:p>
        </w:tc>
      </w:tr>
      <w:tr>
        <w:tc>
          <w:tcPr/>
          <w:p>
            <w:pPr>
              <w:pStyle w:val="Compact"/>
            </w:pPr>
            <w:r>
              <w:t xml:space="preserve">Unallocated items</w:t>
            </w:r>
          </w:p>
        </w:tc>
        <w:tc>
          <w:tcPr/>
          <w:p>
            <w:pPr>
              <w:pStyle w:val="Compact"/>
              <w:jc w:val="right"/>
            </w:pPr>
            <w:r>
              <w:t xml:space="preserve">(76)</w:t>
            </w:r>
          </w:p>
        </w:tc>
        <w:tc>
          <w:tcPr/>
          <w:p>
            <w:pPr>
              <w:pStyle w:val="Compact"/>
              <w:jc w:val="right"/>
            </w:pPr>
            <w:r>
              <w:t xml:space="preserve">Not specifically guided</w:t>
            </w:r>
          </w:p>
        </w:tc>
        <w:tc>
          <w:tcPr/>
          <w:p>
            <w:pPr>
              <w:pStyle w:val="Compact"/>
              <w:jc w:val="right"/>
            </w:pPr>
            <w:r>
              <w:t xml:space="preserve">~ (76), if flat</w:t>
            </w:r>
          </w:p>
        </w:tc>
      </w:tr>
      <w:tr>
        <w:tc>
          <w:tcPr/>
          <w:p>
            <w:pPr>
              <w:pStyle w:val="Compact"/>
            </w:pPr>
            <w:r>
              <w:rPr>
                <w:b/>
                <w:bCs/>
              </w:rPr>
              <w:t xml:space="preserve">Consolidated Adjusted EBITDA</w:t>
            </w:r>
          </w:p>
        </w:tc>
        <w:tc>
          <w:tcPr/>
          <w:p>
            <w:pPr>
              <w:pStyle w:val="Compact"/>
              <w:jc w:val="right"/>
            </w:pPr>
            <w:r>
              <w:rPr>
                <w:b/>
                <w:bCs/>
              </w:rPr>
              <w:t xml:space="preserve">308</w:t>
            </w:r>
          </w:p>
        </w:tc>
        <w:tc>
          <w:tcPr/>
          <w:p>
            <w:pPr>
              <w:pStyle w:val="Compact"/>
            </w:pPr>
          </w:p>
        </w:tc>
        <w:tc>
          <w:tcPr/>
          <w:p>
            <w:pPr>
              <w:pStyle w:val="Compact"/>
              <w:jc w:val="right"/>
            </w:pPr>
            <w:r>
              <w:rPr>
                <w:b/>
                <w:bCs/>
              </w:rPr>
              <w:t xml:space="preserve">~288</w:t>
            </w:r>
          </w:p>
        </w:tc>
      </w:tr>
    </w:tbl>
    <w:p>
      <w:pPr>
        <w:pStyle w:val="BodyText"/>
      </w:pPr>
      <w:r>
        <w:t xml:space="preserve">This is</w:t>
      </w:r>
      <w:r>
        <w:t xml:space="preserve"> </w:t>
      </w:r>
      <w:r>
        <w:rPr>
          <w:b/>
          <w:bCs/>
        </w:rPr>
        <w:t xml:space="preserve">not a sell-side consensus estimate</w:t>
      </w:r>
      <w:r>
        <w:t xml:space="preserve">; it is a mechanical interpretation of WY’s own disclosed outlook and June update. It implies Adjusted EBITDA modestly below 1Q and roughly</w:t>
      </w:r>
      <w:r>
        <w:t xml:space="preserve"> </w:t>
      </w:r>
      <w:r>
        <w:rPr>
          <w:b/>
          <w:bCs/>
        </w:rPr>
        <w:t xml:space="preserve">14% below 2Q25’s $336 million</w:t>
      </w:r>
      <w:r>
        <w:t xml:space="preserve">. The key distinction is that the expected year-over-year decline would be driven mainly by lower Timberlands/SLS contributions and higher corporate-cost drag, despite a better Wood Products result.</w:t>
      </w:r>
    </w:p>
    <w:bookmarkEnd w:id="10"/>
    <w:bookmarkEnd w:id="11"/>
    <w:bookmarkStart w:id="14" w:name="Xedf447734c424dcbfee3f989defb427b301e8ab"/>
    <w:p>
      <w:pPr>
        <w:pStyle w:val="Heading2"/>
      </w:pPr>
      <w:r>
        <w:t xml:space="preserve">The central debate: price realization versus operational execution</w:t>
      </w:r>
    </w:p>
    <w:bookmarkStart w:id="12" w:name="X700a53da3d0b840a175c8cad1d8cfc57198946d"/>
    <w:p>
      <w:pPr>
        <w:pStyle w:val="Heading3"/>
      </w:pPr>
      <w:r>
        <w:t xml:space="preserve">1. Lumber pricing is the primary upside lever</w:t>
      </w:r>
    </w:p>
    <w:p>
      <w:pPr>
        <w:pStyle w:val="FirstParagraph"/>
      </w:pPr>
      <w:r>
        <w:t xml:space="preserve">WY’s June update made clear that lumber realization—not volumes—is doing the heavy lifting in 2Q. The company’s stated quarterly sensitivity is unusually meaningful:</w:t>
      </w:r>
    </w:p>
    <w:p>
      <w:pPr>
        <w:pStyle w:val="Compact"/>
        <w:numPr>
          <w:ilvl w:val="0"/>
          <w:numId w:val="1004"/>
        </w:numPr>
      </w:pPr>
      <w:r>
        <w:t xml:space="preserve">A</w:t>
      </w:r>
      <w:r>
        <w:t xml:space="preserve"> </w:t>
      </w:r>
      <m:oMath>
        <m:r>
          <m:t>10</m:t>
        </m:r>
        <m:r>
          <m:rPr>
            <m:sty m:val="p"/>
          </m:rPr>
          <m:t>/</m:t>
        </m:r>
        <m:r>
          <m:t>M</m:t>
        </m:r>
        <m:r>
          <m:t>B</m:t>
        </m:r>
        <m:r>
          <m:t>F</m:t>
        </m:r>
        <m:r>
          <m:rPr>
            <m:sty m:val="p"/>
          </m:rPr>
          <m:t>*</m:t>
        </m:r>
        <m:r>
          <m:rPr>
            <m:sty m:val="p"/>
          </m:rPr>
          <m:t>*</m:t>
        </m:r>
        <m:r>
          <m:t>c</m:t>
        </m:r>
        <m:r>
          <m:t>h</m:t>
        </m:r>
        <m:r>
          <m:t>a</m:t>
        </m:r>
        <m:r>
          <m:t>n</m:t>
        </m:r>
        <m:r>
          <m:t>g</m:t>
        </m:r>
        <m:r>
          <m:t>e</m:t>
        </m:r>
        <m:r>
          <m:t>i</m:t>
        </m:r>
        <m:r>
          <m:t>n</m:t>
        </m:r>
        <m:r>
          <m:t>L</m:t>
        </m:r>
        <m:r>
          <m:t>u</m:t>
        </m:r>
        <m:r>
          <m:t>m</m:t>
        </m:r>
        <m:r>
          <m:t>b</m:t>
        </m:r>
        <m:r>
          <m:t>e</m:t>
        </m:r>
        <m:r>
          <m:t>r</m:t>
        </m:r>
        <m:r>
          <m:t>r</m:t>
        </m:r>
        <m:r>
          <m:t>e</m:t>
        </m:r>
        <m:r>
          <m:t>a</m:t>
        </m:r>
        <m:r>
          <m:t>l</m:t>
        </m:r>
        <m:r>
          <m:t>i</m:t>
        </m:r>
        <m:r>
          <m:t>z</m:t>
        </m:r>
        <m:r>
          <m:t>a</m:t>
        </m:r>
        <m:r>
          <m:t>t</m:t>
        </m:r>
        <m:r>
          <m:t>i</m:t>
        </m:r>
        <m:r>
          <m:t>o</m:t>
        </m:r>
        <m:r>
          <m:t>n</m:t>
        </m:r>
        <m:r>
          <m:t>s</m:t>
        </m:r>
        <m:r>
          <m:t>n</m:t>
        </m:r>
        <m:r>
          <m:t>o</m:t>
        </m:r>
        <m:r>
          <m:t>r</m:t>
        </m:r>
        <m:r>
          <m:t>m</m:t>
        </m:r>
        <m:r>
          <m:t>a</m:t>
        </m:r>
        <m:r>
          <m:t>l</m:t>
        </m:r>
        <m:r>
          <m:t>l</m:t>
        </m:r>
        <m:r>
          <m:t>y</m:t>
        </m:r>
        <m:r>
          <m:t>e</m:t>
        </m:r>
        <m:r>
          <m:t>q</m:t>
        </m:r>
        <m:r>
          <m:t>u</m:t>
        </m:r>
        <m:r>
          <m:t>a</m:t>
        </m:r>
        <m:r>
          <m:t>t</m:t>
        </m:r>
        <m:r>
          <m:t>e</m:t>
        </m:r>
        <m:r>
          <m:t>s</m:t>
        </m:r>
        <m:r>
          <m:t>t</m:t>
        </m:r>
        <m:r>
          <m:t>o</m:t>
        </m:r>
        <m:r>
          <m:t>a</m:t>
        </m:r>
        <m:r>
          <m:t>b</m:t>
        </m:r>
        <m:r>
          <m:t>o</m:t>
        </m:r>
        <m:r>
          <m:t>u</m:t>
        </m:r>
        <m:r>
          <m:t>t</m:t>
        </m:r>
        <m:r>
          <m:rPr>
            <m:sty m:val="p"/>
          </m:rPr>
          <m:t>*</m:t>
        </m:r>
        <m:r>
          <m:rPr>
            <m:sty m:val="p"/>
          </m:rPr>
          <m:t>*</m:t>
        </m:r>
      </m:oMath>
      <w:r>
        <w:rPr>
          <w:b/>
          <w:bCs/>
        </w:rPr>
        <w:t xml:space="preserve">50 million of annual Adjusted EBITDA</w:t>
      </w:r>
      <w:r>
        <w:t xml:space="preserve">.</w:t>
      </w:r>
    </w:p>
    <w:p>
      <w:pPr>
        <w:pStyle w:val="Compact"/>
        <w:numPr>
          <w:ilvl w:val="0"/>
          <w:numId w:val="1004"/>
        </w:numPr>
      </w:pPr>
      <w:r>
        <w:t xml:space="preserve">For 2Q, WY used a lower temporary sensitivity of roughly</w:t>
      </w:r>
      <w:r>
        <w:t xml:space="preserve"> </w:t>
      </w:r>
      <w:r>
        <w:rPr>
          <w:b/>
          <w:bCs/>
        </w:rPr>
        <w:t xml:space="preserve">$43 million annually per $10/MBF</w:t>
      </w:r>
      <w:r>
        <w:t xml:space="preserve">, because higher trucking costs are embedded in delivered selling prices and are substantially passed through to customers.</w:t>
      </w:r>
    </w:p>
    <w:p>
      <w:pPr>
        <w:pStyle w:val="Compact"/>
        <w:numPr>
          <w:ilvl w:val="0"/>
          <w:numId w:val="1004"/>
        </w:numPr>
      </w:pPr>
      <w:r>
        <w:t xml:space="preserve">The disclosed June 19 run-rate pointed to around</w:t>
      </w:r>
      <w:r>
        <w:t xml:space="preserve"> </w:t>
      </w:r>
      <w:r>
        <w:rPr>
          <w:b/>
          <w:bCs/>
        </w:rPr>
        <w:t xml:space="preserve">$70 million of sequential Lumber EBITDA benefit</w:t>
      </w:r>
      <w:r>
        <w:t xml:space="preserve"> </w:t>
      </w:r>
      <w:r>
        <w:t xml:space="preserve">in 2Q.</w:t>
      </w:r>
    </w:p>
    <w:p>
      <w:pPr>
        <w:pStyle w:val="FirstParagraph"/>
      </w:pPr>
      <w:r>
        <w:t xml:space="preserve">For investors, the report must answer whether that price benefit fully materialized by quarter-end and whether current order files support holding realizations into 3Q. A strong quarter with cautious 3Q pricing commentary could limit the stock’s upside; conversely, evidence that supply discipline and Southern Yellow Pine/Douglas fir demand remain constructive would improve the earnings trajectory.</w:t>
      </w:r>
    </w:p>
    <w:bookmarkEnd w:id="12"/>
    <w:bookmarkStart w:id="13" w:name="X2eef76253cc859dba97669b700dcdcef4bdc18e"/>
    <w:p>
      <w:pPr>
        <w:pStyle w:val="Heading3"/>
      </w:pPr>
      <w:r>
        <w:t xml:space="preserve">2. The June Wood Products revision is the key near-term risk</w:t>
      </w:r>
    </w:p>
    <w:p>
      <w:pPr>
        <w:pStyle w:val="FirstParagraph"/>
      </w:pPr>
      <w:r>
        <w:t xml:space="preserve">The updated outlook lowered Wood Products’ underlying 2Q expectation by approximately $20 million versus 1Q, excluding commodity-price effects. Management attributed the issue specifically to:</w:t>
      </w:r>
    </w:p>
    <w:p>
      <w:pPr>
        <w:pStyle w:val="Compact"/>
        <w:numPr>
          <w:ilvl w:val="0"/>
          <w:numId w:val="1005"/>
        </w:numPr>
      </w:pPr>
      <w:r>
        <w:t xml:space="preserve">Lower lumber sales volumes;</w:t>
      </w:r>
    </w:p>
    <w:p>
      <w:pPr>
        <w:pStyle w:val="Compact"/>
        <w:numPr>
          <w:ilvl w:val="0"/>
          <w:numId w:val="1005"/>
        </w:numPr>
      </w:pPr>
      <w:r>
        <w:t xml:space="preserve">Higher unit manufacturing costs; and</w:t>
      </w:r>
    </w:p>
    <w:p>
      <w:pPr>
        <w:pStyle w:val="Compact"/>
        <w:numPr>
          <w:ilvl w:val="0"/>
          <w:numId w:val="1005"/>
        </w:numPr>
      </w:pPr>
      <w:r>
        <w:t xml:space="preserve">Lower production tied partly to transportation constraints.</w:t>
      </w:r>
    </w:p>
    <w:p>
      <w:pPr>
        <w:pStyle w:val="FirstParagraph"/>
      </w:pPr>
      <w:r>
        <w:t xml:space="preserve">This is important because WY had originally expected seasonally higher volumes across Lumber, OSB, EWP and Distribution. The quarter will therefore test whether the issue was isolated to logistics and timing, or whether it signals weaker underlying construction/R&amp;R demand or a more persistent cost problem.</w:t>
      </w:r>
    </w:p>
    <w:p>
      <w:pPr>
        <w:pStyle w:val="BodyText"/>
      </w:pPr>
      <w:r>
        <w:t xml:space="preserve">A favorable result would show that lumber-price upside more than offset the operational disruption</w:t>
      </w:r>
      <w:r>
        <w:t xml:space="preserve"> </w:t>
      </w:r>
      <w:r>
        <w:rPr>
          <w:b/>
          <w:bCs/>
        </w:rPr>
        <w:t xml:space="preserve">without</w:t>
      </w:r>
      <w:r>
        <w:t xml:space="preserve"> </w:t>
      </w:r>
      <w:r>
        <w:t xml:space="preserve">creating excess inventory or impairing customer service. A less favorable result would be a price-driven earnings beat accompanied by weak 3Q volume or cost commentary.</w:t>
      </w:r>
    </w:p>
    <w:bookmarkEnd w:id="13"/>
    <w:bookmarkEnd w:id="14"/>
    <w:bookmarkStart w:id="18" w:name="segment-setup"/>
    <w:p>
      <w:pPr>
        <w:pStyle w:val="Heading2"/>
      </w:pPr>
      <w:r>
        <w:t xml:space="preserve">Segment setup</w:t>
      </w:r>
    </w:p>
    <w:bookmarkStart w:id="15" w:name="X6e2294509d708847c6ba6899fd212f867e82959"/>
    <w:p>
      <w:pPr>
        <w:pStyle w:val="Heading3"/>
      </w:pPr>
      <w:r>
        <w:t xml:space="preserve">Timberlands: stable quarter, but below normalized earnings power</w:t>
      </w:r>
    </w:p>
    <w:p>
      <w:pPr>
        <w:pStyle w:val="FirstParagraph"/>
      </w:pPr>
      <w:r>
        <w:t xml:space="preserve">WY expects Timberlands EBITDA to be comparable with 1Q’s $120 million. The underlying regional picture remains mixed:</w:t>
      </w:r>
    </w:p>
    <w:p>
      <w:pPr>
        <w:pStyle w:val="Compact"/>
        <w:numPr>
          <w:ilvl w:val="0"/>
          <w:numId w:val="1006"/>
        </w:numPr>
      </w:pPr>
      <w:r>
        <w:rPr>
          <w:b/>
          <w:bCs/>
        </w:rPr>
        <w:t xml:space="preserve">West:</w:t>
      </w:r>
      <w:r>
        <w:t xml:space="preserve"> </w:t>
      </w:r>
      <w:r>
        <w:t xml:space="preserve">moderately higher fee harvest volumes and slightly higher realizations were expected, but higher log-and-haul, forestry and road costs partially offset the benefit.</w:t>
      </w:r>
    </w:p>
    <w:p>
      <w:pPr>
        <w:pStyle w:val="Compact"/>
        <w:numPr>
          <w:ilvl w:val="0"/>
          <w:numId w:val="1006"/>
        </w:numPr>
      </w:pPr>
      <w:r>
        <w:rPr>
          <w:b/>
          <w:bCs/>
        </w:rPr>
        <w:t xml:space="preserve">South:</w:t>
      </w:r>
      <w:r>
        <w:t xml:space="preserve"> </w:t>
      </w:r>
      <w:r>
        <w:t xml:space="preserve">slightly higher harvest volumes but comparable realizations; fiber demand has been soft around maintenance outages and lower finished-goods takeaway.</w:t>
      </w:r>
    </w:p>
    <w:p>
      <w:pPr>
        <w:pStyle w:val="Compact"/>
        <w:numPr>
          <w:ilvl w:val="0"/>
          <w:numId w:val="1006"/>
        </w:numPr>
      </w:pPr>
      <w:r>
        <w:rPr>
          <w:b/>
          <w:bCs/>
        </w:rPr>
        <w:t xml:space="preserve">Export:</w:t>
      </w:r>
      <w:r>
        <w:t xml:space="preserve"> </w:t>
      </w:r>
      <w:r>
        <w:t xml:space="preserve">Japan and China markets were expected to remain stable but at subdued levels, while higher ocean freight costs remain a headwind.</w:t>
      </w:r>
    </w:p>
    <w:p>
      <w:pPr>
        <w:pStyle w:val="FirstParagraph"/>
      </w:pPr>
      <w:r>
        <w:t xml:space="preserve">The larger issue is earnings normalization. WY has emphasized that Western log prices remain below more typical levels despite improving lumber prices, while Western harvest volumes should be comparable for 2026 and Southern volumes slightly higher. Investors should listen for confirmation that improving Douglas fir and domestic lumber pricing is translating into stronger Western log pricing, and for any progress in Southern export markets.</w:t>
      </w:r>
    </w:p>
    <w:bookmarkEnd w:id="15"/>
    <w:bookmarkStart w:id="16" w:name="Xe44e5cd7367834ced2b0a7a35d5553cdfa76c38"/>
    <w:p>
      <w:pPr>
        <w:pStyle w:val="Heading3"/>
      </w:pPr>
      <w:r>
        <w:t xml:space="preserve">Strategic Land Solutions: expected sequential reset, full-year guide matters more</w:t>
      </w:r>
    </w:p>
    <w:p>
      <w:pPr>
        <w:pStyle w:val="FirstParagraph"/>
      </w:pPr>
      <w:r>
        <w:t xml:space="preserve">SLS produced exceptional 1Q EBITDA of</w:t>
      </w:r>
      <w:r>
        <w:t xml:space="preserve"> </w:t>
      </w:r>
      <m:oMath>
        <m:r>
          <m:t>193</m:t>
        </m:r>
        <m:r>
          <m:t>m</m:t>
        </m:r>
        <m:r>
          <m:t>i</m:t>
        </m:r>
        <m:r>
          <m:t>l</m:t>
        </m:r>
        <m:r>
          <m:t>l</m:t>
        </m:r>
        <m:r>
          <m:t>i</m:t>
        </m:r>
        <m:r>
          <m:t>o</m:t>
        </m:r>
        <m:r>
          <m:t>n</m:t>
        </m:r>
        <m:r>
          <m:rPr>
            <m:sty m:val="p"/>
          </m:rPr>
          <m:t>,</m:t>
        </m:r>
        <m:r>
          <m:t>i</m:t>
        </m:r>
        <m:r>
          <m:t>n</m:t>
        </m:r>
        <m:r>
          <m:t>c</m:t>
        </m:r>
        <m:r>
          <m:t>l</m:t>
        </m:r>
        <m:r>
          <m:t>u</m:t>
        </m:r>
        <m:r>
          <m:t>d</m:t>
        </m:r>
        <m:r>
          <m:t>i</m:t>
        </m:r>
        <m:r>
          <m:t>n</m:t>
        </m:r>
        <m:r>
          <m:t>g</m:t>
        </m:r>
        <m:r>
          <m:t>t</m:t>
        </m:r>
        <m:r>
          <m:t>h</m:t>
        </m:r>
        <m:r>
          <m:t>e</m:t>
        </m:r>
        <m:r>
          <m:rPr>
            <m:sty m:val="p"/>
          </m:rPr>
          <m:t>*</m:t>
        </m:r>
        <m:r>
          <m:rPr>
            <m:sty m:val="p"/>
          </m:rPr>
          <m:t>*</m:t>
        </m:r>
      </m:oMath>
      <w:r>
        <w:t xml:space="preserve">94 million Florida conservation-easement transaction**. A roughly $70 million sequential decline is therefore expected and should not, by itself, be read as negative.</w:t>
      </w:r>
    </w:p>
    <w:p>
      <w:pPr>
        <w:pStyle w:val="BodyText"/>
      </w:pPr>
      <w:r>
        <w:t xml:space="preserve">The more important issue is whether WY maintains its</w:t>
      </w:r>
      <w:r>
        <w:t xml:space="preserve"> </w:t>
      </w:r>
      <w:r>
        <w:rPr>
          <w:b/>
          <w:bCs/>
        </w:rPr>
        <w:t xml:space="preserve">approximately $425 million full-year SLS Adjusted EBITDA target</w:t>
      </w:r>
      <w:r>
        <w:t xml:space="preserve">. That target implies a meaningful slowdown after the first half, consistent with the seasonal/timing-driven nature of Real Estate transactions.</w:t>
      </w:r>
    </w:p>
    <w:p>
      <w:pPr>
        <w:pStyle w:val="BodyText"/>
      </w:pPr>
      <w:r>
        <w:t xml:space="preserve">Watch for:</w:t>
      </w:r>
    </w:p>
    <w:p>
      <w:pPr>
        <w:pStyle w:val="Compact"/>
        <w:numPr>
          <w:ilvl w:val="0"/>
          <w:numId w:val="1007"/>
        </w:numPr>
      </w:pPr>
      <w:r>
        <w:t xml:space="preserve">Real Estate acreage sales, pricing and premiums to timber value;</w:t>
      </w:r>
    </w:p>
    <w:p>
      <w:pPr>
        <w:pStyle w:val="Compact"/>
        <w:numPr>
          <w:ilvl w:val="0"/>
          <w:numId w:val="1007"/>
        </w:numPr>
      </w:pPr>
      <w:r>
        <w:t xml:space="preserve">Basis as a percentage of SLS sales, guided at</w:t>
      </w:r>
      <w:r>
        <w:t xml:space="preserve"> </w:t>
      </w:r>
      <w:r>
        <w:rPr>
          <w:b/>
          <w:bCs/>
        </w:rPr>
        <w:t xml:space="preserve">20%–30% for 2026</w:t>
      </w:r>
      <w:r>
        <w:t xml:space="preserve">;</w:t>
      </w:r>
    </w:p>
    <w:p>
      <w:pPr>
        <w:pStyle w:val="Compact"/>
        <w:numPr>
          <w:ilvl w:val="0"/>
          <w:numId w:val="1007"/>
        </w:numPr>
      </w:pPr>
      <w:r>
        <w:t xml:space="preserve">Renewable-energy project conversion and construction activity;</w:t>
      </w:r>
    </w:p>
    <w:p>
      <w:pPr>
        <w:pStyle w:val="Compact"/>
        <w:numPr>
          <w:ilvl w:val="0"/>
          <w:numId w:val="1007"/>
        </w:numPr>
      </w:pPr>
      <w:r>
        <w:t xml:space="preserve">Forest carbon, mitigation/conservation and carbon-capture pipeline updates; and</w:t>
      </w:r>
    </w:p>
    <w:p>
      <w:pPr>
        <w:pStyle w:val="Compact"/>
        <w:numPr>
          <w:ilvl w:val="0"/>
          <w:numId w:val="1007"/>
        </w:numPr>
      </w:pPr>
      <w:r>
        <w:t xml:space="preserve">Any evidence that the company’s Climate Solutions growth trajectory is accelerating beyond one-off easements.</w:t>
      </w:r>
    </w:p>
    <w:bookmarkEnd w:id="16"/>
    <w:bookmarkStart w:id="17" w:name="Xa61613b28e65aa53612c8306dd25db047cc7e60"/>
    <w:p>
      <w:pPr>
        <w:pStyle w:val="Heading3"/>
      </w:pPr>
      <w:r>
        <w:t xml:space="preserve">Wood Products: earnings recovery is real, but quality of recovery is under scrutiny</w:t>
      </w:r>
    </w:p>
    <w:p>
      <w:pPr>
        <w:pStyle w:val="FirstParagraph"/>
      </w:pPr>
      <w:r>
        <w:t xml:space="preserve">Wood Products EBITDA improved to $71 million in 1Q from a $20 million loss in 4Q25, primarily on Lumber and OSB price improvement. For 2Q, Lumber should be substantially better on realization, while the rest of the portfolio presents a more mixed setup:</w:t>
      </w:r>
    </w:p>
    <w:p>
      <w:pPr>
        <w:pStyle w:val="Compact"/>
        <w:numPr>
          <w:ilvl w:val="0"/>
          <w:numId w:val="1008"/>
        </w:numPr>
      </w:pPr>
      <w:r>
        <w:rPr>
          <w:b/>
          <w:bCs/>
        </w:rPr>
        <w:t xml:space="preserve">Lumber:</w:t>
      </w:r>
      <w:r>
        <w:t xml:space="preserve"> </w:t>
      </w:r>
      <w:r>
        <w:t xml:space="preserve">higher prices, but transportation constraints, lower volumes and higher costs.</w:t>
      </w:r>
    </w:p>
    <w:p>
      <w:pPr>
        <w:pStyle w:val="Compact"/>
        <w:numPr>
          <w:ilvl w:val="0"/>
          <w:numId w:val="1008"/>
        </w:numPr>
      </w:pPr>
      <w:r>
        <w:rPr>
          <w:b/>
          <w:bCs/>
        </w:rPr>
        <w:t xml:space="preserve">OSB:</w:t>
      </w:r>
      <w:r>
        <w:t xml:space="preserve"> </w:t>
      </w:r>
      <w:r>
        <w:t xml:space="preserve">higher volumes expected, but planned maintenance outages at three mills, higher resin costs and higher fiber costs.</w:t>
      </w:r>
    </w:p>
    <w:p>
      <w:pPr>
        <w:pStyle w:val="Compact"/>
        <w:numPr>
          <w:ilvl w:val="0"/>
          <w:numId w:val="1008"/>
        </w:numPr>
      </w:pPr>
      <w:r>
        <w:rPr>
          <w:b/>
          <w:bCs/>
        </w:rPr>
        <w:t xml:space="preserve">EWP:</w:t>
      </w:r>
      <w:r>
        <w:t xml:space="preserve"> </w:t>
      </w:r>
      <w:r>
        <w:t xml:space="preserve">higher seasonal volumes expected, but pricing was only expected to be flat sequentially and remains closely tied to single-family construction.</w:t>
      </w:r>
    </w:p>
    <w:p>
      <w:pPr>
        <w:pStyle w:val="Compact"/>
        <w:numPr>
          <w:ilvl w:val="0"/>
          <w:numId w:val="1008"/>
        </w:numPr>
      </w:pPr>
      <w:r>
        <w:rPr>
          <w:b/>
          <w:bCs/>
        </w:rPr>
        <w:t xml:space="preserve">Distribution:</w:t>
      </w:r>
      <w:r>
        <w:t xml:space="preserve"> </w:t>
      </w:r>
      <w:r>
        <w:t xml:space="preserve">modest sequential improvement expected from seasonally higher volumes.</w:t>
      </w:r>
    </w:p>
    <w:p>
      <w:pPr>
        <w:pStyle w:val="FirstParagraph"/>
      </w:pPr>
      <w:r>
        <w:t xml:space="preserve">The earnings call needs to establish whether WY’s cost-control and operational-excellence programs are allowing it to retain price leverage. That matters because the company estimates that every</w:t>
      </w:r>
      <w:r>
        <w:t xml:space="preserve"> </w:t>
      </w:r>
      <m:oMath>
        <m:r>
          <m:t>10</m:t>
        </m:r>
        <m:r>
          <m:t>m</m:t>
        </m:r>
        <m:r>
          <m:t>o</m:t>
        </m:r>
        <m:r>
          <m:t>v</m:t>
        </m:r>
        <m:r>
          <m:t>e</m:t>
        </m:r>
        <m:r>
          <m:t>i</m:t>
        </m:r>
        <m:r>
          <m:t>n</m:t>
        </m:r>
        <m:r>
          <m:t>r</m:t>
        </m:r>
        <m:r>
          <m:t>e</m:t>
        </m:r>
        <m:r>
          <m:t>a</m:t>
        </m:r>
        <m:r>
          <m:t>l</m:t>
        </m:r>
        <m:r>
          <m:t>i</m:t>
        </m:r>
        <m:r>
          <m:t>z</m:t>
        </m:r>
        <m:r>
          <m:t>e</m:t>
        </m:r>
        <m:r>
          <m:t>d</m:t>
        </m:r>
        <m:r>
          <m:t>p</m:t>
        </m:r>
        <m:r>
          <m:t>r</m:t>
        </m:r>
        <m:r>
          <m:t>i</m:t>
        </m:r>
        <m:r>
          <m:t>c</m:t>
        </m:r>
        <m:r>
          <m:t>e</m:t>
        </m:r>
        <m:r>
          <m:t>s</m:t>
        </m:r>
        <m:r>
          <m:t>c</m:t>
        </m:r>
        <m:r>
          <m:t>a</m:t>
        </m:r>
        <m:r>
          <m:t>r</m:t>
        </m:r>
        <m:r>
          <m:t>r</m:t>
        </m:r>
        <m:r>
          <m:t>i</m:t>
        </m:r>
        <m:r>
          <m:t>e</m:t>
        </m:r>
        <m:r>
          <m:t>s</m:t>
        </m:r>
        <m:r>
          <m:t>r</m:t>
        </m:r>
        <m:r>
          <m:t>o</m:t>
        </m:r>
        <m:r>
          <m:t>u</m:t>
        </m:r>
        <m:r>
          <m:t>g</m:t>
        </m:r>
        <m:r>
          <m:t>h</m:t>
        </m:r>
        <m:r>
          <m:t>l</m:t>
        </m:r>
        <m:r>
          <m:t>y</m:t>
        </m:r>
        <m:r>
          <m:rPr>
            <m:sty m:val="p"/>
          </m:rPr>
          <m:t>*</m:t>
        </m:r>
        <m:r>
          <m:rPr>
            <m:sty m:val="p"/>
          </m:rPr>
          <m:t>*</m:t>
        </m:r>
      </m:oMath>
      <w:r>
        <w:t xml:space="preserve">50 million of annual EBITDA sensitivity for Lumber** and</w:t>
      </w:r>
      <w:r>
        <w:t xml:space="preserve"> </w:t>
      </w:r>
      <w:r>
        <w:rPr>
          <w:b/>
          <w:bCs/>
        </w:rPr>
        <w:t xml:space="preserve">$30 million for OSB</w:t>
      </w:r>
      <w:r>
        <w:t xml:space="preserve"> </w:t>
      </w:r>
      <w:r>
        <w:t xml:space="preserve">under normal conditions.</w:t>
      </w:r>
    </w:p>
    <w:bookmarkEnd w:id="17"/>
    <w:bookmarkEnd w:id="18"/>
    <w:bookmarkStart w:id="19" w:name="Xa5d1fd3887e460f5f604e256cdf5a32d81768d4"/>
    <w:p>
      <w:pPr>
        <w:pStyle w:val="Heading2"/>
      </w:pPr>
      <w:r>
        <w:t xml:space="preserve">Housing, repair/remodel and demand backdrop</w:t>
      </w:r>
    </w:p>
    <w:p>
      <w:pPr>
        <w:pStyle w:val="FirstParagraph"/>
      </w:pPr>
      <w:r>
        <w:t xml:space="preserve">Management’s prior commentary was cautious on near-term housing. It characterized housing as “stuck in second gear,” constrained by affordability, consumer confidence and mortgage rates. Repair/remodel activity was described as steady but not yet showing a decisive seasonal acceleration, with professional activity holding up better than DIY.</w:t>
      </w:r>
    </w:p>
    <w:p>
      <w:pPr>
        <w:pStyle w:val="BodyText"/>
      </w:pPr>
      <w:r>
        <w:t xml:space="preserve">That backdrop creates a differentiated setup across WY’s businesses:</w:t>
      </w:r>
    </w:p>
    <w:p>
      <w:pPr>
        <w:pStyle w:val="Compact"/>
        <w:numPr>
          <w:ilvl w:val="0"/>
          <w:numId w:val="1009"/>
        </w:numPr>
      </w:pPr>
      <w:r>
        <w:rPr>
          <w:b/>
          <w:bCs/>
        </w:rPr>
        <w:t xml:space="preserve">Lumber and OSB</w:t>
      </w:r>
      <w:r>
        <w:t xml:space="preserve"> </w:t>
      </w:r>
      <w:r>
        <w:t xml:space="preserve">can still perform if industry supply remains disciplined, even without a major housing-start recovery.</w:t>
      </w:r>
    </w:p>
    <w:p>
      <w:pPr>
        <w:pStyle w:val="Compact"/>
        <w:numPr>
          <w:ilvl w:val="0"/>
          <w:numId w:val="1009"/>
        </w:numPr>
      </w:pPr>
      <w:r>
        <w:rPr>
          <w:b/>
          <w:bCs/>
        </w:rPr>
        <w:t xml:space="preserve">EWP</w:t>
      </w:r>
      <w:r>
        <w:t xml:space="preserve"> </w:t>
      </w:r>
      <w:r>
        <w:t xml:space="preserve">is more directly exposed to single-family construction and therefore more vulnerable if affordability and builder confidence remain weak.</w:t>
      </w:r>
    </w:p>
    <w:p>
      <w:pPr>
        <w:pStyle w:val="Compact"/>
        <w:numPr>
          <w:ilvl w:val="0"/>
          <w:numId w:val="1009"/>
        </w:numPr>
      </w:pPr>
      <w:r>
        <w:rPr>
          <w:b/>
          <w:bCs/>
        </w:rPr>
        <w:t xml:space="preserve">Timberlands</w:t>
      </w:r>
      <w:r>
        <w:t xml:space="preserve"> </w:t>
      </w:r>
      <w:r>
        <w:t xml:space="preserve">benefits from stronger wood-product production and pricing, but has a lagged and region-specific earnings response.</w:t>
      </w:r>
    </w:p>
    <w:p>
      <w:pPr>
        <w:pStyle w:val="FirstParagraph"/>
      </w:pPr>
      <w:r>
        <w:t xml:space="preserve">WY’s own long-term thesis remains intact—an underbuilt housing market, aging housing stock, Canadian supply contraction and growing Southern U.S. capacity—but the July 30 report is likely to be judged on near-term volume, price and cost execution rather than that long-duration narrative.</w:t>
      </w:r>
    </w:p>
    <w:bookmarkEnd w:id="19"/>
    <w:bookmarkStart w:id="20" w:name="capital-allocation-and-balance-sheet"/>
    <w:p>
      <w:pPr>
        <w:pStyle w:val="Heading2"/>
      </w:pPr>
      <w:r>
        <w:t xml:space="preserve">Capital allocation and balance sheet</w:t>
      </w:r>
    </w:p>
    <w:p>
      <w:pPr>
        <w:pStyle w:val="FirstParagraph"/>
      </w:pPr>
      <w:r>
        <w:t xml:space="preserve">The capital-allocation story remains supportive but requires monitoring while earnings are cyclically depressed.</w:t>
      </w:r>
    </w:p>
    <w:p>
      <w:pPr>
        <w:pStyle w:val="Compact"/>
        <w:numPr>
          <w:ilvl w:val="0"/>
          <w:numId w:val="1010"/>
        </w:numPr>
      </w:pPr>
      <w:r>
        <w:t xml:space="preserve">WY ended 1Q with approximately</w:t>
      </w:r>
      <w:r>
        <w:t xml:space="preserve"> </w:t>
      </w:r>
      <m:oMath>
        <m:r>
          <m:t>300</m:t>
        </m:r>
        <m:r>
          <m:t>m</m:t>
        </m:r>
        <m:r>
          <m:t>i</m:t>
        </m:r>
        <m:r>
          <m:t>l</m:t>
        </m:r>
        <m:r>
          <m:t>l</m:t>
        </m:r>
        <m:r>
          <m:t>i</m:t>
        </m:r>
        <m:r>
          <m:t>o</m:t>
        </m:r>
        <m:r>
          <m:t>n</m:t>
        </m:r>
        <m:r>
          <m:t>o</m:t>
        </m:r>
        <m:r>
          <m:t>f</m:t>
        </m:r>
        <m:r>
          <m:t>c</m:t>
        </m:r>
        <m:r>
          <m:t>a</m:t>
        </m:r>
        <m:r>
          <m:t>s</m:t>
        </m:r>
        <m:r>
          <m:t>h</m:t>
        </m:r>
        <m:r>
          <m:rPr>
            <m:sty m:val="p"/>
          </m:rPr>
          <m:t>*</m:t>
        </m:r>
        <m:r>
          <m:rPr>
            <m:sty m:val="p"/>
          </m:rPr>
          <m:t>*</m:t>
        </m:r>
        <m:r>
          <m:t>a</m:t>
        </m:r>
        <m:r>
          <m:t>n</m:t>
        </m:r>
        <m:r>
          <m:t>d</m:t>
        </m:r>
        <m:r>
          <m:rPr>
            <m:sty m:val="p"/>
          </m:rPr>
          <m:t>*</m:t>
        </m:r>
        <m:r>
          <m:rPr>
            <m:sty m:val="p"/>
          </m:rPr>
          <m:t>*</m:t>
        </m:r>
      </m:oMath>
      <w:r>
        <w:rPr>
          <w:b/>
          <w:bCs/>
        </w:rPr>
        <w:t xml:space="preserve">5.4 billion of debt</w:t>
      </w:r>
      <w:r>
        <w:t xml:space="preserve">.</w:t>
      </w:r>
    </w:p>
    <w:p>
      <w:pPr>
        <w:pStyle w:val="Compact"/>
        <w:numPr>
          <w:ilvl w:val="0"/>
          <w:numId w:val="1010"/>
        </w:numPr>
      </w:pPr>
      <w:r>
        <w:t xml:space="preserve">The company repaid $150 million of 7.7% notes during 1Q.</w:t>
      </w:r>
    </w:p>
    <w:p>
      <w:pPr>
        <w:pStyle w:val="Compact"/>
        <w:numPr>
          <w:ilvl w:val="0"/>
          <w:numId w:val="1010"/>
        </w:numPr>
      </w:pPr>
      <w:r>
        <w:t xml:space="preserve">It returned approximately</w:t>
      </w:r>
      <w:r>
        <w:t xml:space="preserve"> </w:t>
      </w:r>
      <w:r>
        <w:rPr>
          <w:b/>
          <w:bCs/>
        </w:rPr>
        <w:t xml:space="preserve">$161 million</w:t>
      </w:r>
      <w:r>
        <w:t xml:space="preserve"> </w:t>
      </w:r>
      <w:r>
        <w:t xml:space="preserve">to shareholders in 1Q through the base dividend and share repurchases.</w:t>
      </w:r>
    </w:p>
    <w:p>
      <w:pPr>
        <w:pStyle w:val="Compact"/>
        <w:numPr>
          <w:ilvl w:val="0"/>
          <w:numId w:val="1010"/>
        </w:numPr>
      </w:pPr>
      <w:r>
        <w:t xml:space="preserve">1Q capital expenditures were</w:t>
      </w:r>
      <w:r>
        <w:t xml:space="preserve"> </w:t>
      </w:r>
      <m:oMath>
        <m:r>
          <m:t>112</m:t>
        </m:r>
        <m:r>
          <m:t>m</m:t>
        </m:r>
        <m:r>
          <m:t>i</m:t>
        </m:r>
        <m:r>
          <m:t>l</m:t>
        </m:r>
        <m:r>
          <m:t>l</m:t>
        </m:r>
        <m:r>
          <m:t>i</m:t>
        </m:r>
        <m:r>
          <m:t>o</m:t>
        </m:r>
        <m:r>
          <m:t>n</m:t>
        </m:r>
        <m:r>
          <m:rPr>
            <m:sty m:val="p"/>
          </m:rPr>
          <m:t>*</m:t>
        </m:r>
        <m:r>
          <m:rPr>
            <m:sty m:val="p"/>
          </m:rPr>
          <m:t>*</m:t>
        </m:r>
        <m:r>
          <m:rPr>
            <m:sty m:val="p"/>
          </m:rPr>
          <m:t>,</m:t>
        </m:r>
        <m:r>
          <m:t>i</m:t>
        </m:r>
        <m:r>
          <m:t>n</m:t>
        </m:r>
        <m:r>
          <m:t>c</m:t>
        </m:r>
        <m:r>
          <m:t>l</m:t>
        </m:r>
        <m:r>
          <m:t>u</m:t>
        </m:r>
        <m:r>
          <m:t>d</m:t>
        </m:r>
        <m:r>
          <m:t>i</m:t>
        </m:r>
        <m:r>
          <m:t>n</m:t>
        </m:r>
        <m:r>
          <m:t>g</m:t>
        </m:r>
        <m:r>
          <m:rPr>
            <m:sty m:val="p"/>
          </m:rPr>
          <m:t>*</m:t>
        </m:r>
        <m:r>
          <m:rPr>
            <m:sty m:val="p"/>
          </m:rPr>
          <m:t>*</m:t>
        </m:r>
      </m:oMath>
      <w:r>
        <w:rPr>
          <w:b/>
          <w:bCs/>
        </w:rPr>
        <w:t xml:space="preserve">30 million</w:t>
      </w:r>
      <w:r>
        <w:t xml:space="preserve"> </w:t>
      </w:r>
      <w:r>
        <w:t xml:space="preserve">for the Monticello TimberStrand facility.</w:t>
      </w:r>
    </w:p>
    <w:p>
      <w:pPr>
        <w:pStyle w:val="Compact"/>
        <w:numPr>
          <w:ilvl w:val="0"/>
          <w:numId w:val="1010"/>
        </w:numPr>
      </w:pPr>
      <w:r>
        <w:t xml:space="preserve">WY expects approximately</w:t>
      </w:r>
      <w:r>
        <w:t xml:space="preserve"> </w:t>
      </w:r>
      <m:oMath>
        <m:r>
          <m:t>300</m:t>
        </m:r>
        <m:r>
          <m:t>m</m:t>
        </m:r>
        <m:r>
          <m:t>i</m:t>
        </m:r>
        <m:r>
          <m:t>l</m:t>
        </m:r>
        <m:r>
          <m:t>l</m:t>
        </m:r>
        <m:r>
          <m:t>i</m:t>
        </m:r>
        <m:r>
          <m:t>o</m:t>
        </m:r>
        <m:r>
          <m:t>n</m:t>
        </m:r>
        <m:r>
          <m:rPr>
            <m:sty m:val="p"/>
          </m:rPr>
          <m:t>*</m:t>
        </m:r>
        <m:r>
          <m:rPr>
            <m:sty m:val="p"/>
          </m:rPr>
          <m:t>*</m:t>
        </m:r>
        <m:r>
          <m:t>o</m:t>
        </m:r>
        <m:r>
          <m:t>f</m:t>
        </m:r>
        <m:r>
          <m:t>M</m:t>
        </m:r>
        <m:r>
          <m:t>o</m:t>
        </m:r>
        <m:r>
          <m:t>n</m:t>
        </m:r>
        <m:r>
          <m:t>t</m:t>
        </m:r>
        <m:r>
          <m:t>i</m:t>
        </m:r>
        <m:r>
          <m:t>c</m:t>
        </m:r>
        <m:r>
          <m:t>e</m:t>
        </m:r>
        <m:r>
          <m:t>l</m:t>
        </m:r>
        <m:r>
          <m:t>l</m:t>
        </m:r>
        <m:r>
          <m:t>o</m:t>
        </m:r>
        <m:r>
          <m:t>s</m:t>
        </m:r>
        <m:r>
          <m:t>p</m:t>
        </m:r>
        <m:r>
          <m:t>e</m:t>
        </m:r>
        <m:r>
          <m:t>n</m:t>
        </m:r>
        <m:r>
          <m:t>d</m:t>
        </m:r>
        <m:r>
          <m:t>i</m:t>
        </m:r>
        <m:r>
          <m:t>n</m:t>
        </m:r>
        <m:r>
          <m:t>g</m:t>
        </m:r>
        <m:r>
          <m:t>i</m:t>
        </m:r>
        <m:r>
          <m:t>n</m:t>
        </m:r>
        <m:r>
          <m:t>2026</m:t>
        </m:r>
        <m:r>
          <m:rPr>
            <m:sty m:val="p"/>
          </m:rPr>
          <m:t>;</m:t>
        </m:r>
        <m:r>
          <m:t>t</m:t>
        </m:r>
        <m:r>
          <m:t>h</m:t>
        </m:r>
        <m:r>
          <m:t>e</m:t>
        </m:r>
        <m:r>
          <m:t>p</m:t>
        </m:r>
        <m:r>
          <m:t>r</m:t>
        </m:r>
        <m:r>
          <m:t>o</m:t>
        </m:r>
        <m:r>
          <m:t>j</m:t>
        </m:r>
        <m:r>
          <m:t>e</m:t>
        </m:r>
        <m:r>
          <m:t>c</m:t>
        </m:r>
        <m:r>
          <m:t>t</m:t>
        </m:r>
        <m:r>
          <m:t>i</m:t>
        </m:r>
        <m:r>
          <m:t>s</m:t>
        </m:r>
        <m:r>
          <m:t>e</m:t>
        </m:r>
        <m:r>
          <m:t>x</m:t>
        </m:r>
        <m:r>
          <m:t>p</m:t>
        </m:r>
        <m:r>
          <m:t>e</m:t>
        </m:r>
        <m:r>
          <m:t>c</m:t>
        </m:r>
        <m:r>
          <m:t>t</m:t>
        </m:r>
        <m:r>
          <m:t>e</m:t>
        </m:r>
        <m:r>
          <m:t>d</m:t>
        </m:r>
        <m:r>
          <m:t>t</m:t>
        </m:r>
        <m:r>
          <m:t>o</m:t>
        </m:r>
        <m:r>
          <m:t>b</m:t>
        </m:r>
        <m:r>
          <m:t>e</m:t>
        </m:r>
        <m:r>
          <m:t>g</m:t>
        </m:r>
        <m:r>
          <m:t>i</m:t>
        </m:r>
        <m:r>
          <m:t>n</m:t>
        </m:r>
        <m:r>
          <m:t>o</m:t>
        </m:r>
        <m:r>
          <m:t>p</m:t>
        </m:r>
        <m:r>
          <m:t>e</m:t>
        </m:r>
        <m:r>
          <m:t>r</m:t>
        </m:r>
        <m:r>
          <m:t>a</m:t>
        </m:r>
        <m:r>
          <m:t>t</m:t>
        </m:r>
        <m:r>
          <m:t>i</m:t>
        </m:r>
        <m:r>
          <m:t>o</m:t>
        </m:r>
        <m:r>
          <m:t>n</m:t>
        </m:r>
        <m:r>
          <m:t>s</m:t>
        </m:r>
        <m:r>
          <m:t>i</m:t>
        </m:r>
        <m:r>
          <m:t>n</m:t>
        </m:r>
        <m:r>
          <m:t>2027</m:t>
        </m:r>
        <m:r>
          <m:t>a</m:t>
        </m:r>
        <m:r>
          <m:t>n</m:t>
        </m:r>
        <m:r>
          <m:t>d</m:t>
        </m:r>
        <m:r>
          <m:t>g</m:t>
        </m:r>
        <m:r>
          <m:t>e</m:t>
        </m:r>
        <m:r>
          <m:t>n</m:t>
        </m:r>
        <m:r>
          <m:t>e</m:t>
        </m:r>
        <m:r>
          <m:t>r</m:t>
        </m:r>
        <m:r>
          <m:t>a</m:t>
        </m:r>
        <m:r>
          <m:t>t</m:t>
        </m:r>
        <m:r>
          <m:t>e</m:t>
        </m:r>
        <m:r>
          <m:t>m</m:t>
        </m:r>
        <m:r>
          <m:t>o</m:t>
        </m:r>
        <m:r>
          <m:t>r</m:t>
        </m:r>
        <m:r>
          <m:t>e</m:t>
        </m:r>
        <m:r>
          <m:t>t</m:t>
        </m:r>
        <m:r>
          <m:t>h</m:t>
        </m:r>
        <m:r>
          <m:t>a</m:t>
        </m:r>
        <m:r>
          <m:t>n</m:t>
        </m:r>
        <m:r>
          <m:rPr>
            <m:sty m:val="p"/>
          </m:rPr>
          <m:t>*</m:t>
        </m:r>
        <m:r>
          <m:rPr>
            <m:sty m:val="p"/>
          </m:rPr>
          <m:t>*</m:t>
        </m:r>
      </m:oMath>
      <w:r>
        <w:rPr>
          <w:b/>
          <w:bCs/>
        </w:rPr>
        <w:t xml:space="preserve">100 million of annual Adjusted EBITDA</w:t>
      </w:r>
      <w:r>
        <w:t xml:space="preserve"> </w:t>
      </w:r>
      <w:r>
        <w:t xml:space="preserve">at full capacity.</w:t>
      </w:r>
    </w:p>
    <w:p>
      <w:pPr>
        <w:pStyle w:val="FirstParagraph"/>
      </w:pPr>
      <w:r>
        <w:t xml:space="preserve">The balance-sheet question is less about immediate liquidity and more about whether management can continue to fund Monticello, maintain the dividend/cash-return framework and selectively repurchase shares while leverage is elevated relative to its through-cycle target. Management has framed the current leverage position as a cyclical trough issue rather than a structural constraint.</w:t>
      </w:r>
    </w:p>
    <w:bookmarkEnd w:id="20"/>
    <w:bookmarkStart w:id="21" w:name="stock-positioning-into-the-print"/>
    <w:p>
      <w:pPr>
        <w:pStyle w:val="Heading2"/>
      </w:pPr>
      <w:r>
        <w:t xml:space="preserve">Stock positioning into the print</w:t>
      </w:r>
    </w:p>
    <w:p>
      <w:pPr>
        <w:pStyle w:val="FirstParagraph"/>
      </w:pPr>
      <w:r>
        <w:t xml:space="preserve">WY closed at</w:t>
      </w:r>
      <w:r>
        <w:t xml:space="preserve"> </w:t>
      </w:r>
      <m:oMath>
        <m:r>
          <m:t>24.46</m:t>
        </m:r>
        <m:r>
          <m:t>o</m:t>
        </m:r>
        <m:r>
          <m:t>n</m:t>
        </m:r>
        <m:r>
          <m:t>J</m:t>
        </m:r>
        <m:r>
          <m:t>u</m:t>
        </m:r>
        <m:r>
          <m:t>l</m:t>
        </m:r>
        <m:r>
          <m:t>y</m:t>
        </m:r>
        <m:r>
          <m:t>29</m:t>
        </m:r>
        <m:r>
          <m:rPr>
            <m:sty m:val="p"/>
          </m:rPr>
          <m:t>*</m:t>
        </m:r>
        <m:r>
          <m:rPr>
            <m:sty m:val="p"/>
          </m:rPr>
          <m:t>*</m:t>
        </m:r>
        <m:r>
          <m:rPr>
            <m:sty m:val="p"/>
          </m:rPr>
          <m:t>,</m:t>
        </m:r>
        <m:r>
          <m:t>e</m:t>
        </m:r>
        <m:r>
          <m:t>s</m:t>
        </m:r>
        <m:r>
          <m:t>s</m:t>
        </m:r>
        <m:r>
          <m:t>e</m:t>
        </m:r>
        <m:r>
          <m:t>n</m:t>
        </m:r>
        <m:r>
          <m:t>t</m:t>
        </m:r>
        <m:r>
          <m:t>i</m:t>
        </m:r>
        <m:r>
          <m:t>a</m:t>
        </m:r>
        <m:r>
          <m:t>l</m:t>
        </m:r>
        <m:r>
          <m:t>l</m:t>
        </m:r>
        <m:r>
          <m:t>y</m:t>
        </m:r>
        <m:r>
          <m:t>u</m:t>
        </m:r>
        <m:r>
          <m:t>n</m:t>
        </m:r>
        <m:r>
          <m:t>c</m:t>
        </m:r>
        <m:r>
          <m:t>h</m:t>
        </m:r>
        <m:r>
          <m:t>a</m:t>
        </m:r>
        <m:r>
          <m:t>n</m:t>
        </m:r>
        <m:r>
          <m:t>g</m:t>
        </m:r>
        <m:r>
          <m:t>e</m:t>
        </m:r>
        <m:r>
          <m:t>d</m:t>
        </m:r>
        <m:r>
          <m:t>f</m:t>
        </m:r>
        <m:r>
          <m:t>r</m:t>
        </m:r>
        <m:r>
          <m:t>o</m:t>
        </m:r>
        <m:r>
          <m:t>m</m:t>
        </m:r>
        <m:r>
          <m:t>i</m:t>
        </m:r>
        <m:r>
          <m:t>t</m:t>
        </m:r>
        <m:r>
          <m:t>s</m:t>
        </m:r>
        <m:r>
          <m:rPr>
            <m:sty m:val="p"/>
          </m:rPr>
          <m:t>*</m:t>
        </m:r>
        <m:r>
          <m:rPr>
            <m:sty m:val="p"/>
          </m:rPr>
          <m:t>*</m:t>
        </m:r>
      </m:oMath>
      <w:r>
        <w:rPr>
          <w:b/>
          <w:bCs/>
        </w:rPr>
        <w:t xml:space="preserve">24.52 close on April 30</w:t>
      </w:r>
      <w:r>
        <w:t xml:space="preserve">, the day of 1Q earnings. The stock is up roughly</w:t>
      </w:r>
      <w:r>
        <w:t xml:space="preserve"> </w:t>
      </w:r>
      <w:r>
        <w:rPr>
          <w:b/>
          <w:bCs/>
        </w:rPr>
        <w:t xml:space="preserve">3% year-to-date</w:t>
      </w:r>
      <w:r>
        <w:t xml:space="preserve">, but remains about</w:t>
      </w:r>
      <w:r>
        <w:t xml:space="preserve"> </w:t>
      </w:r>
      <w:r>
        <w:rPr>
          <w:b/>
          <w:bCs/>
        </w:rPr>
        <w:t xml:space="preserve">10% below</w:t>
      </w:r>
      <w:r>
        <w:t xml:space="preserve"> </w:t>
      </w:r>
      <w:r>
        <w:t xml:space="preserve">its January 2026 closing high of $27.10.</w:t>
      </w:r>
    </w:p>
    <w:p>
      <w:pPr>
        <w:pStyle w:val="BodyText"/>
      </w:pPr>
      <w:r>
        <w:t xml:space="preserve">That performance suggests the market has not fully rewarded the June lumber-price improvement, likely because investors are balancing it against weak housing demand, transport/freight inflation, the SLS normalization and questions around Wood Products volumes. As a result, the stock’s reaction should be particularly sensitive to forward commentary rather than the reported 2Q number alone.</w:t>
      </w:r>
    </w:p>
    <w:bookmarkEnd w:id="21"/>
    <w:bookmarkStart w:id="22" w:name="what-matters-most-on-july-30"/>
    <w:p>
      <w:pPr>
        <w:pStyle w:val="Heading2"/>
      </w:pPr>
      <w:r>
        <w:t xml:space="preserve">What matters most on July 30</w:t>
      </w:r>
    </w:p>
    <w:p>
      <w:pPr>
        <w:pStyle w:val="Compact"/>
        <w:numPr>
          <w:ilvl w:val="0"/>
          <w:numId w:val="1011"/>
        </w:numPr>
      </w:pPr>
      <w:r>
        <w:rPr>
          <w:b/>
          <w:bCs/>
        </w:rPr>
        <w:t xml:space="preserve">Did Lumber EBITDA meet or exceed the roughly $70 million price-related sequential uplift disclosed in June?</w:t>
      </w:r>
    </w:p>
    <w:p>
      <w:pPr>
        <w:pStyle w:val="Compact"/>
        <w:numPr>
          <w:ilvl w:val="0"/>
          <w:numId w:val="1011"/>
        </w:numPr>
      </w:pPr>
      <w:r>
        <w:rPr>
          <w:b/>
          <w:bCs/>
        </w:rPr>
        <w:t xml:space="preserve">Were transportation constraints resolved, and did volumes recover as expected?</w:t>
      </w:r>
    </w:p>
    <w:p>
      <w:pPr>
        <w:pStyle w:val="Compact"/>
        <w:numPr>
          <w:ilvl w:val="0"/>
          <w:numId w:val="1011"/>
        </w:numPr>
      </w:pPr>
      <w:r>
        <w:rPr>
          <w:b/>
          <w:bCs/>
        </w:rPr>
        <w:t xml:space="preserve">What is the 3Q outlook for Lumber, OSB and EWP realizations, volumes and costs?</w:t>
      </w:r>
    </w:p>
    <w:p>
      <w:pPr>
        <w:pStyle w:val="Compact"/>
        <w:numPr>
          <w:ilvl w:val="0"/>
          <w:numId w:val="1011"/>
        </w:numPr>
      </w:pPr>
      <w:r>
        <w:rPr>
          <w:b/>
          <w:bCs/>
        </w:rPr>
        <w:t xml:space="preserve">Does WY maintain its approximately $425 million full-year SLS EBITDA target?</w:t>
      </w:r>
    </w:p>
    <w:p>
      <w:pPr>
        <w:pStyle w:val="Compact"/>
        <w:numPr>
          <w:ilvl w:val="0"/>
          <w:numId w:val="1011"/>
        </w:numPr>
      </w:pPr>
      <w:r>
        <w:rPr>
          <w:b/>
          <w:bCs/>
        </w:rPr>
        <w:t xml:space="preserve">Are Western domestic log prices gaining traction, and are Southern log/export markets improving?</w:t>
      </w:r>
    </w:p>
    <w:p>
      <w:pPr>
        <w:pStyle w:val="Compact"/>
        <w:numPr>
          <w:ilvl w:val="0"/>
          <w:numId w:val="1011"/>
        </w:numPr>
      </w:pPr>
      <w:r>
        <w:rPr>
          <w:b/>
          <w:bCs/>
        </w:rPr>
        <w:t xml:space="preserve">What is the updated view on freight, fuel, resin and other inflationary inputs?</w:t>
      </w:r>
    </w:p>
    <w:p>
      <w:pPr>
        <w:pStyle w:val="Compact"/>
        <w:numPr>
          <w:ilvl w:val="0"/>
          <w:numId w:val="1011"/>
        </w:numPr>
      </w:pPr>
      <w:r>
        <w:rPr>
          <w:b/>
          <w:bCs/>
        </w:rPr>
        <w:t xml:space="preserve">Does management reiterate 2026 Monticello spending and the timing of the 2027 startup?</w:t>
      </w:r>
    </w:p>
    <w:bookmarkEnd w:id="22"/>
    <w:bookmarkStart w:id="24" w:name="investment-view-going-into-earnings"/>
    <w:p>
      <w:pPr>
        <w:pStyle w:val="Heading2"/>
      </w:pPr>
      <w:r>
        <w:t xml:space="preserve">Investment view going into earnings</w:t>
      </w:r>
    </w:p>
    <w:p>
      <w:pPr>
        <w:pStyle w:val="FirstParagraph"/>
      </w:pPr>
      <w:r>
        <w:rPr>
          <w:b/>
          <w:bCs/>
        </w:rPr>
        <w:t xml:space="preserve">Constructive but selective.</w:t>
      </w:r>
      <w:r>
        <w:t xml:space="preserve"> </w:t>
      </w:r>
      <w:r>
        <w:t xml:space="preserve">WY has a favorable earnings setup in Lumber and an attractive longer-term combination of timberland scarcity, Wood Products operating leverage, Strategic Land Solutions growth and embedded Monticello upside. However, the near-term report is not a simple commodity-price story: the company has already flagged operational friction in Lumber, while EWP demand and Timberlands export markets remain soft.</w:t>
      </w:r>
    </w:p>
    <w:p>
      <w:pPr>
        <w:pStyle w:val="BodyText"/>
      </w:pPr>
      <w:r>
        <w:t xml:space="preserve">A positive outcome would pair a solid price-driven Wood Products result with evidence that transportation disruptions are behind the company, SLS remains on track, and 3Q realizations/costs are stable. A negative outcome would be a quarter that technically meets expectations because of lumber pricing but reveals weaker volumes, persistent cost inflation, softer EWP demand or reduced confidence in the 2026 SLS target.</w:t>
      </w:r>
    </w:p>
    <w:p>
      <w:r>
        <w:pict>
          <v:rect style="width:0;height:1.5pt" o:hralign="center" o:hrstd="t" o:hr="t"/>
        </w:pict>
      </w:r>
    </w:p>
    <w:bookmarkStart w:id="23" w:name="sources-reviewed"/>
    <w:p>
      <w:pPr>
        <w:pStyle w:val="Heading3"/>
      </w:pPr>
      <w:r>
        <w:t xml:space="preserve">Sources reviewed</w:t>
      </w:r>
    </w:p>
    <w:p>
      <w:pPr>
        <w:pStyle w:val="Compact"/>
        <w:numPr>
          <w:ilvl w:val="0"/>
          <w:numId w:val="1012"/>
        </w:numPr>
      </w:pPr>
      <w:r>
        <w:t xml:space="preserve">Weyerhaeuser 1Q26 earnings release and earnings-call transcript</w:t>
      </w:r>
    </w:p>
    <w:p>
      <w:pPr>
        <w:pStyle w:val="Compact"/>
        <w:numPr>
          <w:ilvl w:val="0"/>
          <w:numId w:val="1012"/>
        </w:numPr>
      </w:pPr>
      <w:r>
        <w:t xml:space="preserve">Weyerhaeuser June 25, 2026 investor presentation / 2Q outlook update</w:t>
      </w:r>
    </w:p>
    <w:p>
      <w:pPr>
        <w:pStyle w:val="Compact"/>
        <w:numPr>
          <w:ilvl w:val="0"/>
          <w:numId w:val="1012"/>
        </w:numPr>
      </w:pPr>
      <w:r>
        <w:t xml:space="preserve">Weyerhaeuser 2Q25 earnings release for year-over-year comparison</w:t>
      </w:r>
    </w:p>
    <w:p>
      <w:pPr>
        <w:pStyle w:val="Compact"/>
        <w:numPr>
          <w:ilvl w:val="0"/>
          <w:numId w:val="1012"/>
        </w:numPr>
      </w:pPr>
      <w:r>
        <w:t xml:space="preserve">WY and selected peer share-price history through July 29, 2026</w:t>
      </w:r>
    </w:p>
    <w:bookmarkEnd w:id="23"/>
    <w:bookmarkEnd w:id="24"/>
    <w:bookmarkEnd w:id="2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2026-07-29T20:05:46Z</dcterms:created>
  <dcterms:modified xsi:type="dcterms:W3CDTF">2026-07-29T20:05:46Z</dcterms:modified>
</cp:coreProperties>
</file>

<file path=docProps/custom.xml><?xml version="1.0" encoding="utf-8"?>
<Properties xmlns="http://schemas.openxmlformats.org/officeDocument/2006/custom-properties" xmlns:vt="http://schemas.openxmlformats.org/officeDocument/2006/docPropsVTypes"/>
</file>