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y-earnings-predictions--2026-07-30"/>
    <w:p>
      <w:pPr>
        <w:pStyle w:val="Heading1"/>
      </w:pPr>
      <w:r>
        <w:t xml:space="preserve">WY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Wood Products Adj. EBITDA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~$145M vs. cons $128M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Lumber Realization $/MBF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~$510/MBF vs. cons $501/MBF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Adj. EBITDA (Q2 2026)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~$295M vs. cons $297M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Wood Products Adj. EBITDA ex-pricing (Q3 2026)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comparable to Q2 (~</w:t>
            </w:r>
            <m:oMath>
              <m:r>
                <m:t>128</m:t>
              </m:r>
              <m:r>
                <m:t>M</m:t>
              </m:r>
              <m:r>
                <m:rPr>
                  <m:sty m:val="p"/>
                </m:rPr>
                <m:t>)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128M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SLS Adj. EBITDA FY 2026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  <w:r>
              <w:t xml:space="preserve"> </w:t>
            </w:r>
            <m:oMath>
              <m:r>
                <m:t>425</m:t>
              </m:r>
              <m:r>
                <m:t>M</m:t>
              </m:r>
              <m:r>
                <m:t>m</m:t>
              </m:r>
              <m:r>
                <m:t>a</m:t>
              </m:r>
              <m:r>
                <m:t>i</m:t>
              </m:r>
              <m:r>
                <m:t>n</m:t>
              </m:r>
              <m:r>
                <m:t>t</m:t>
              </m:r>
              <m:r>
                <m:t>a</m:t>
              </m:r>
              <m:r>
                <m:t>i</m:t>
              </m:r>
              <m:r>
                <m:t>n</m:t>
              </m:r>
              <m:r>
                <m:t>e</m:t>
              </m:r>
              <m:r>
                <m:t>d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426M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Lumber/housing tone (qualitative)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cautiously constructive, no change to framework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-0.5%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-2.0% (FADE)</w:t>
            </w:r>
          </w:p>
        </w:tc>
        <w:tc>
          <w:tcPr/>
          <w:p>
            <w:pPr>
              <w:pStyle w:val="Compact"/>
            </w:pPr>
            <w:r>
              <w:t xml:space="preserve">FADE — beat is backward-looking (pricing telegraphed by Jun 25 8-K); Q3 guide neutral; no estimate revision catalyst; short covering provides day-1 cushion but fades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2026-08-02T02:01:02Z</dcterms:created>
  <dcterms:modified xsi:type="dcterms:W3CDTF">2026-08-02T02:01:02Z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