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Weyerhaeuser (WY)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Weyerhaeuser Company</w:t>
            </w:r>
          </w:p>
        </w:tc>
      </w:tr>
      <w:tr>
        <w:tc>
          <w:tcPr>
            <w:tcW w:type="dxa" w:w="4320"/>
          </w:tcPr>
          <w:p>
            <w:r>
              <w:rPr>
                <w:rFonts w:ascii="Calibri" w:hAnsi="Calibri"/>
                <w:b/>
                <w:sz w:val="22"/>
              </w:rPr>
              <w:t>Ticker</w:t>
            </w:r>
          </w:p>
        </w:tc>
        <w:tc>
          <w:tcPr>
            <w:tcW w:type="dxa" w:w="4320"/>
          </w:tcPr>
          <w:p>
            <w:r>
              <w:rPr>
                <w:rFonts w:ascii="Calibri" w:hAnsi="Calibri"/>
                <w:sz w:val="22"/>
              </w:rPr>
              <w:t>WY (NYSE)</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Date</w:t>
            </w:r>
          </w:p>
        </w:tc>
        <w:tc>
          <w:tcPr>
            <w:tcW w:type="dxa" w:w="4320"/>
          </w:tcPr>
          <w:p>
            <w:r>
              <w:rPr>
                <w:rFonts w:ascii="Calibri" w:hAnsi="Calibri"/>
                <w:sz w:val="22"/>
              </w:rPr>
              <w:t>July 30, 2026</w:t>
            </w:r>
          </w:p>
        </w:tc>
      </w:tr>
      <w:tr>
        <w:tc>
          <w:tcPr>
            <w:tcW w:type="dxa" w:w="4320"/>
          </w:tcPr>
          <w:p>
            <w:r>
              <w:rPr>
                <w:rFonts w:ascii="Calibri" w:hAnsi="Calibri"/>
                <w:b/>
                <w:sz w:val="22"/>
              </w:rPr>
              <w:t>Prepared</w:t>
            </w:r>
          </w:p>
        </w:tc>
        <w:tc>
          <w:tcPr>
            <w:tcW w:type="dxa" w:w="4320"/>
          </w:tcPr>
          <w:p>
            <w:r>
              <w:rPr>
                <w:rFonts w:ascii="Calibri" w:hAnsi="Calibri"/>
                <w:sz w:val="22"/>
              </w:rPr>
              <w:t>July 29, 2026</w:t>
            </w:r>
          </w:p>
        </w:tc>
      </w:tr>
      <w:tr>
        <w:tc>
          <w:tcPr>
            <w:tcW w:type="dxa" w:w="4320"/>
          </w:tcPr>
          <w:p>
            <w:r>
              <w:rPr>
                <w:rFonts w:ascii="Calibri" w:hAnsi="Calibri"/>
                <w:b/>
                <w:sz w:val="22"/>
              </w:rPr>
              <w:t>Sector ETF Benchmark</w:t>
            </w:r>
          </w:p>
        </w:tc>
        <w:tc>
          <w:tcPr>
            <w:tcW w:type="dxa" w:w="4320"/>
          </w:tcPr>
          <w:p>
            <w:r>
              <w:rPr>
                <w:rFonts w:ascii="Calibri" w:hAnsi="Calibri"/>
                <w:sz w:val="22"/>
              </w:rPr>
              <w:t>iShares Global Timber &amp; Forestry ETF (WOOD)</w:t>
            </w:r>
          </w:p>
        </w:tc>
      </w:tr>
    </w:tbl>
    <w:p>
      <w:r>
        <w:br w:type="page"/>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setup into Q2 2026 is constructive — lumber pricing running ~$65/MBF above Q1 average QTD (as of June 19) is the single biggest swing factor and should drive a meaningful Wood Products EBITDA beat, though a ~$20M cost headwind from transportation constraints and OSB maintenance outages partially offsets the pricing tailwind.</w:t>
      </w:r>
    </w:p>
    <w:p>
      <w:r>
        <w:rPr>
          <w:rFonts w:ascii="Calibri" w:hAnsi="Calibri"/>
          <w:color w:val="525866"/>
          <w:sz w:val="22"/>
        </w:rPr>
        <w:t xml:space="preserve">Heading into Q2 2026, the bar for WY is a moderate one: consensus Wood Products EBITDA of ~$148M (as of May 6) was set before the June 25 8-K update confirmed lumber realizations running +$65/MBF above Q1 average QTD, implying a ~$70M incremental Lumber EBITDA contribution over Q1 from pricing alone — well above what the street had modeled. Management's tone has shifted decisively more constructive since the Q1 print, with the June 25 investor presentation explicitly quantifying the lumber pricing tailwind and confirming Timberlands and Strategic Land Solutions outlooks are unchanged from Q1 guidance. Estimate revisions have moved in the right direction — Q2 2026 consensus Wood Products EBITDA revised up from ~$51M (post-Q4 2025 baseline) to ~$148M by early May, and the June 25 update should push that higher still — though the full pricing benefit may not yet be fully reflected in current consensus. </w:t>
      </w:r>
    </w:p>
    <w:p>
      <w:r>
        <w:rPr>
          <w:rFonts w:ascii="Calibri" w:hAnsi="Calibri"/>
          <w:color w:val="525866"/>
          <w:sz w:val="22"/>
        </w:rPr>
        <w:t>The stock has been a relative underperformer since Q1 earnings (down ~0.3% vs. SPY +1.5% and WOOD +3.8% through July 28), suggesting the market has not fully priced in the lumber pricing recovery, which creates an asymmetric setup to the upside if Wood Products EBITDA prints materially above the pre-8-K consensus. The key wildcard is the trajectory of OSB pricing — currently running only +$5/MSF above Q1 average QTD with current realizations comparable to Q1, meaning OSB provides little incremental lift and any further softness (LP flagged OSB back below EBITDA breakeven in early May) could be a modest drag on the consolidated print.</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heading into Q2 is a moderate bar that the June 25 8-K update has likely already made stale — </w:t>
      </w:r>
    </w:p>
    <w:p>
      <w:r>
        <w:rPr>
          <w:rFonts w:ascii="Calibri" w:hAnsi="Calibri"/>
          <w:color w:val="525866"/>
          <w:sz w:val="22"/>
        </w:rPr>
        <w:t>lumber pricing (+$65/MBF QTD vs. Q1) is the dominant swing factor and points to a meaningful Wood Products beat, while OSB is a non-event. Strategic Land Solutions EBITDA of ~$123M (guided ~$70M below Q1’s $193M) is well-telegraphed and should be in-line.</w:t>
      </w:r>
    </w:p>
    <w:p>
      <w:pPr>
        <w:pStyle w:val="Heading3"/>
      </w:pPr>
      <w:r>
        <w:rPr>
          <w:rFonts w:ascii="Calibri" w:hAnsi="Calibri"/>
          <w:b/>
          <w:color w:val="3B4259"/>
          <w:sz w:val="24"/>
        </w:rPr>
        <w:t>Table 1 — Q2 2026 Current Quarter Snapshot (All Key KPIs)</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 (Last Qtr)</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Q2 2026 Guidance</w:t>
            </w:r>
          </w:p>
        </w:tc>
        <w:tc>
          <w:tcPr>
            <w:tcW w:type="dxa" w:w="1234"/>
            <w:shd w:val="clear" w:color="auto" w:fill="3B4259"/>
          </w:tcPr>
          <w:p>
            <w:r>
              <w:rPr>
                <w:rFonts w:ascii="Calibri" w:hAnsi="Calibri"/>
                <w:b/>
                <w:color w:val="FFFFFF"/>
                <w:sz w:val="22"/>
              </w:rPr>
              <w:t>Cons. vs. Guidance</w:t>
            </w:r>
          </w:p>
        </w:tc>
      </w:tr>
      <w:tr>
        <w:tc>
          <w:tcPr>
            <w:tcW w:type="dxa" w:w="1234"/>
          </w:tcPr>
          <w:p>
            <w:r>
              <w:rPr>
                <w:rFonts w:ascii="Calibri" w:hAnsi="Calibri"/>
                <w:sz w:val="22"/>
              </w:rPr>
              <w:t>Net Sales ($M)</w:t>
            </w:r>
          </w:p>
        </w:tc>
        <w:tc>
          <w:tcPr>
            <w:tcW w:type="dxa" w:w="1234"/>
          </w:tcPr>
          <w:p>
            <w:r>
              <w:rPr>
                <w:rFonts w:ascii="Calibri" w:hAnsi="Calibri"/>
                <w:sz w:val="22"/>
              </w:rPr>
              <w:t>$1,727M</w:t>
            </w:r>
          </w:p>
        </w:tc>
        <w:tc>
          <w:tcPr>
            <w:tcW w:type="dxa" w:w="1234"/>
          </w:tcPr>
          <w:p>
            <w:r>
              <w:rPr>
                <w:rFonts w:ascii="Calibri" w:hAnsi="Calibri"/>
                <w:sz w:val="22"/>
              </w:rPr>
              <w:t>$1,884M</w:t>
            </w:r>
          </w:p>
        </w:tc>
        <w:tc>
          <w:tcPr>
            <w:tcW w:type="dxa" w:w="1234"/>
          </w:tcPr>
          <w:p>
            <w:r>
              <w:rPr>
                <w:rFonts w:ascii="Calibri" w:hAnsi="Calibri"/>
                <w:sz w:val="22"/>
              </w:rPr>
              <w:t>$1,842M</w:t>
            </w:r>
          </w:p>
        </w:tc>
        <w:tc>
          <w:tcPr>
            <w:tcW w:type="dxa" w:w="1234"/>
          </w:tcPr>
          <w:p>
            <w:r>
              <w:rPr>
                <w:rFonts w:ascii="Calibri" w:hAnsi="Calibri"/>
                <w:sz w:val="22"/>
              </w:rPr>
              <w:t>-2.2%</w:t>
            </w:r>
          </w:p>
        </w:tc>
        <w:tc>
          <w:tcPr>
            <w:tcW w:type="dxa" w:w="1234"/>
          </w:tcPr>
          <w:p>
            <w:r>
              <w:rPr>
                <w:rFonts w:ascii="Calibri" w:hAnsi="Calibri"/>
                <w:sz w:val="22"/>
              </w:rPr>
              <w:t>No explicit revenue guidance</w:t>
            </w:r>
          </w:p>
        </w:tc>
        <w:tc>
          <w:tcPr>
            <w:tcW w:type="dxa" w:w="1234"/>
          </w:tcPr>
          <w:p>
            <w:r>
              <w:rPr>
                <w:rFonts w:ascii="Calibri" w:hAnsi="Calibri"/>
                <w:sz w:val="22"/>
              </w:rPr>
              <w:t>N/A</w:t>
            </w:r>
          </w:p>
        </w:tc>
      </w:tr>
      <w:tr>
        <w:tc>
          <w:tcPr>
            <w:tcW w:type="dxa" w:w="1234"/>
          </w:tcPr>
          <w:p>
            <w:r>
              <w:rPr>
                <w:rFonts w:ascii="Calibri" w:hAnsi="Calibri"/>
                <w:sz w:val="22"/>
              </w:rPr>
              <w:t>Adjusted EBITDA ($M)</w:t>
            </w:r>
          </w:p>
        </w:tc>
        <w:tc>
          <w:tcPr>
            <w:tcW w:type="dxa" w:w="1234"/>
          </w:tcPr>
          <w:p>
            <w:r>
              <w:rPr>
                <w:rFonts w:ascii="Calibri" w:hAnsi="Calibri"/>
                <w:sz w:val="22"/>
              </w:rPr>
              <w:t>$308M</w:t>
            </w:r>
          </w:p>
        </w:tc>
        <w:tc>
          <w:tcPr>
            <w:tcW w:type="dxa" w:w="1234"/>
          </w:tcPr>
          <w:p>
            <w:r>
              <w:rPr>
                <w:rFonts w:ascii="Calibri" w:hAnsi="Calibri"/>
                <w:sz w:val="22"/>
              </w:rPr>
              <w:t>$336M</w:t>
            </w:r>
          </w:p>
        </w:tc>
        <w:tc>
          <w:tcPr>
            <w:tcW w:type="dxa" w:w="1234"/>
          </w:tcPr>
          <w:p>
            <w:r>
              <w:rPr>
                <w:rFonts w:ascii="Calibri" w:hAnsi="Calibri"/>
                <w:sz w:val="22"/>
              </w:rPr>
              <w:t>$297M</w:t>
            </w:r>
          </w:p>
        </w:tc>
        <w:tc>
          <w:tcPr>
            <w:tcW w:type="dxa" w:w="1234"/>
          </w:tcPr>
          <w:p>
            <w:r>
              <w:rPr>
                <w:rFonts w:ascii="Calibri" w:hAnsi="Calibri"/>
                <w:sz w:val="22"/>
              </w:rPr>
              <w:t>-11.6%</w:t>
            </w:r>
          </w:p>
        </w:tc>
        <w:tc>
          <w:tcPr>
            <w:tcW w:type="dxa" w:w="1234"/>
          </w:tcPr>
          <w:p>
            <w:r>
              <w:rPr>
                <w:rFonts w:ascii="Calibri" w:hAnsi="Calibri"/>
                <w:sz w:val="22"/>
              </w:rPr>
              <w:t>No explicit consolidated guidance</w:t>
            </w:r>
          </w:p>
        </w:tc>
        <w:tc>
          <w:tcPr>
            <w:tcW w:type="dxa" w:w="1234"/>
          </w:tcPr>
          <w:p>
            <w:r>
              <w:rPr>
                <w:rFonts w:ascii="Calibri" w:hAnsi="Calibri"/>
                <w:sz w:val="22"/>
              </w:rPr>
              <w:t>N/A</w:t>
            </w:r>
          </w:p>
        </w:tc>
      </w:tr>
      <w:tr>
        <w:tc>
          <w:tcPr>
            <w:tcW w:type="dxa" w:w="1234"/>
          </w:tcPr>
          <w:p>
            <w:r>
              <w:rPr>
                <w:rFonts w:ascii="Calibri" w:hAnsi="Calibri"/>
                <w:sz w:val="22"/>
              </w:rPr>
              <w:t>Wood Products Adj. EBITDA ($M)</w:t>
            </w:r>
          </w:p>
        </w:tc>
        <w:tc>
          <w:tcPr>
            <w:tcW w:type="dxa" w:w="1234"/>
          </w:tcPr>
          <w:p>
            <w:r>
              <w:rPr>
                <w:rFonts w:ascii="Calibri" w:hAnsi="Calibri"/>
                <w:sz w:val="22"/>
              </w:rPr>
              <w:t>$71M</w:t>
            </w:r>
          </w:p>
        </w:tc>
        <w:tc>
          <w:tcPr>
            <w:tcW w:type="dxa" w:w="1234"/>
          </w:tcPr>
          <w:p>
            <w:r>
              <w:rPr>
                <w:rFonts w:ascii="Calibri" w:hAnsi="Calibri"/>
                <w:sz w:val="22"/>
              </w:rPr>
              <w:t>$101M</w:t>
            </w:r>
          </w:p>
        </w:tc>
        <w:tc>
          <w:tcPr>
            <w:tcW w:type="dxa" w:w="1234"/>
          </w:tcPr>
          <w:p>
            <w:r>
              <w:rPr>
                <w:rFonts w:ascii="Calibri" w:hAnsi="Calibri"/>
                <w:sz w:val="22"/>
              </w:rPr>
              <w:t>$128M</w:t>
            </w:r>
          </w:p>
        </w:tc>
        <w:tc>
          <w:tcPr>
            <w:tcW w:type="dxa" w:w="1234"/>
          </w:tcPr>
          <w:p>
            <w:r>
              <w:rPr>
                <w:rFonts w:ascii="Calibri" w:hAnsi="Calibri"/>
                <w:sz w:val="22"/>
              </w:rPr>
              <w:t>+26.7%</w:t>
            </w:r>
          </w:p>
        </w:tc>
        <w:tc>
          <w:tcPr>
            <w:tcW w:type="dxa" w:w="1234"/>
          </w:tcPr>
          <w:p>
            <w:r>
              <w:rPr>
                <w:rFonts w:ascii="Calibri" w:hAnsi="Calibri"/>
                <w:sz w:val="22"/>
              </w:rPr>
              <w:t>Comparable to Q1 ex-pricing; ~$20M lower than Q1 ex-pricing (updated Jun 25)</w:t>
            </w:r>
          </w:p>
        </w:tc>
        <w:tc>
          <w:tcPr>
            <w:tcW w:type="dxa" w:w="1234"/>
          </w:tcPr>
          <w:p>
            <w:r>
              <w:rPr>
                <w:rFonts w:ascii="Calibri" w:hAnsi="Calibri"/>
                <w:sz w:val="22"/>
              </w:rPr>
              <w:t>Cons. likely below updated guidance (pricing tailwind not fully captured)</w:t>
            </w:r>
          </w:p>
        </w:tc>
      </w:tr>
      <w:tr>
        <w:tc>
          <w:tcPr>
            <w:tcW w:type="dxa" w:w="1234"/>
          </w:tcPr>
          <w:p>
            <w:r>
              <w:rPr>
                <w:rFonts w:ascii="Calibri" w:hAnsi="Calibri"/>
                <w:sz w:val="22"/>
              </w:rPr>
              <w:t>Timberlands Adj. EBITDA ($M)</w:t>
            </w:r>
          </w:p>
        </w:tc>
        <w:tc>
          <w:tcPr>
            <w:tcW w:type="dxa" w:w="1234"/>
          </w:tcPr>
          <w:p>
            <w:r>
              <w:rPr>
                <w:rFonts w:ascii="Calibri" w:hAnsi="Calibri"/>
                <w:sz w:val="22"/>
              </w:rPr>
              <w:t>$120M</w:t>
            </w:r>
          </w:p>
        </w:tc>
        <w:tc>
          <w:tcPr>
            <w:tcW w:type="dxa" w:w="1234"/>
          </w:tcPr>
          <w:p>
            <w:r>
              <w:rPr>
                <w:rFonts w:ascii="Calibri" w:hAnsi="Calibri"/>
                <w:sz w:val="22"/>
              </w:rPr>
              <w:t>$152M</w:t>
            </w:r>
          </w:p>
        </w:tc>
        <w:tc>
          <w:tcPr>
            <w:tcW w:type="dxa" w:w="1234"/>
          </w:tcPr>
          <w:p>
            <w:r>
              <w:rPr>
                <w:rFonts w:ascii="Calibri" w:hAnsi="Calibri"/>
                <w:sz w:val="22"/>
              </w:rPr>
              <w:t>$121M</w:t>
            </w:r>
          </w:p>
        </w:tc>
        <w:tc>
          <w:tcPr>
            <w:tcW w:type="dxa" w:w="1234"/>
          </w:tcPr>
          <w:p>
            <w:r>
              <w:rPr>
                <w:rFonts w:ascii="Calibri" w:hAnsi="Calibri"/>
                <w:sz w:val="22"/>
              </w:rPr>
              <w:t>-20.4%</w:t>
            </w:r>
          </w:p>
        </w:tc>
        <w:tc>
          <w:tcPr>
            <w:tcW w:type="dxa" w:w="1234"/>
          </w:tcPr>
          <w:p>
            <w:r>
              <w:rPr>
                <w:rFonts w:ascii="Calibri" w:hAnsi="Calibri"/>
                <w:sz w:val="22"/>
              </w:rPr>
              <w:t>Comparable to Q1 (unchanged Jun 25)</w:t>
            </w:r>
          </w:p>
        </w:tc>
        <w:tc>
          <w:tcPr>
            <w:tcW w:type="dxa" w:w="1234"/>
          </w:tcPr>
          <w:p>
            <w:r>
              <w:rPr>
                <w:rFonts w:ascii="Calibri" w:hAnsi="Calibri"/>
                <w:sz w:val="22"/>
              </w:rPr>
              <w:t>~+0.8% above guidance midpoint</w:t>
            </w:r>
          </w:p>
        </w:tc>
      </w:tr>
      <w:tr>
        <w:tc>
          <w:tcPr>
            <w:tcW w:type="dxa" w:w="1234"/>
          </w:tcPr>
          <w:p>
            <w:r>
              <w:rPr>
                <w:rFonts w:ascii="Calibri" w:hAnsi="Calibri"/>
                <w:sz w:val="22"/>
              </w:rPr>
              <w:t>Strategic Land Solutions Adj. EBITDA ($M)</w:t>
            </w:r>
          </w:p>
        </w:tc>
        <w:tc>
          <w:tcPr>
            <w:tcW w:type="dxa" w:w="1234"/>
          </w:tcPr>
          <w:p>
            <w:r>
              <w:rPr>
                <w:rFonts w:ascii="Calibri" w:hAnsi="Calibri"/>
                <w:sz w:val="22"/>
              </w:rPr>
              <w:t>$193M</w:t>
            </w:r>
          </w:p>
        </w:tc>
        <w:tc>
          <w:tcPr>
            <w:tcW w:type="dxa" w:w="1234"/>
          </w:tcPr>
          <w:p>
            <w:r>
              <w:rPr>
                <w:rFonts w:ascii="Calibri" w:hAnsi="Calibri"/>
                <w:sz w:val="22"/>
              </w:rPr>
              <w:t>$143M</w:t>
            </w:r>
          </w:p>
        </w:tc>
        <w:tc>
          <w:tcPr>
            <w:tcW w:type="dxa" w:w="1234"/>
          </w:tcPr>
          <w:p>
            <w:r>
              <w:rPr>
                <w:rFonts w:ascii="Calibri" w:hAnsi="Calibri"/>
                <w:sz w:val="22"/>
              </w:rPr>
              <w:t>$123M</w:t>
            </w:r>
          </w:p>
        </w:tc>
        <w:tc>
          <w:tcPr>
            <w:tcW w:type="dxa" w:w="1234"/>
          </w:tcPr>
          <w:p>
            <w:r>
              <w:rPr>
                <w:rFonts w:ascii="Calibri" w:hAnsi="Calibri"/>
                <w:sz w:val="22"/>
              </w:rPr>
              <w:t>-14.0%</w:t>
            </w:r>
          </w:p>
        </w:tc>
        <w:tc>
          <w:tcPr>
            <w:tcW w:type="dxa" w:w="1234"/>
          </w:tcPr>
          <w:p>
            <w:r>
              <w:rPr>
                <w:rFonts w:ascii="Calibri" w:hAnsi="Calibri"/>
                <w:sz w:val="22"/>
              </w:rPr>
              <w:t>~$70M lower than Q1 (~$123M implied; unchanged Jun 25)</w:t>
            </w:r>
          </w:p>
        </w:tc>
        <w:tc>
          <w:tcPr>
            <w:tcW w:type="dxa" w:w="1234"/>
          </w:tcPr>
          <w:p>
            <w:r>
              <w:rPr>
                <w:rFonts w:ascii="Calibri" w:hAnsi="Calibri"/>
                <w:sz w:val="22"/>
              </w:rPr>
              <w:t>~In-line with guidance</w:t>
            </w:r>
          </w:p>
        </w:tc>
      </w:tr>
      <w:tr>
        <w:tc>
          <w:tcPr>
            <w:tcW w:type="dxa" w:w="1234"/>
          </w:tcPr>
          <w:p>
            <w:r>
              <w:rPr>
                <w:rFonts w:ascii="Calibri" w:hAnsi="Calibri"/>
                <w:sz w:val="22"/>
              </w:rPr>
              <w:t>Lumber Realization ($/MBF)</w:t>
            </w:r>
          </w:p>
        </w:tc>
        <w:tc>
          <w:tcPr>
            <w:tcW w:type="dxa" w:w="1234"/>
          </w:tcPr>
          <w:p>
            <w:r>
              <w:rPr>
                <w:rFonts w:ascii="Calibri" w:hAnsi="Calibri"/>
                <w:sz w:val="22"/>
              </w:rPr>
              <w:t>$443/MBF</w:t>
            </w:r>
          </w:p>
        </w:tc>
        <w:tc>
          <w:tcPr>
            <w:tcW w:type="dxa" w:w="1234"/>
          </w:tcPr>
          <w:p>
            <w:r>
              <w:rPr>
                <w:rFonts w:ascii="Calibri" w:hAnsi="Calibri"/>
                <w:sz w:val="22"/>
              </w:rPr>
              <w:t>$454/MBF</w:t>
            </w:r>
          </w:p>
        </w:tc>
        <w:tc>
          <w:tcPr>
            <w:tcW w:type="dxa" w:w="1234"/>
          </w:tcPr>
          <w:p>
            <w:r>
              <w:rPr>
                <w:rFonts w:ascii="Calibri" w:hAnsi="Calibri"/>
                <w:sz w:val="22"/>
              </w:rPr>
              <w:t>$501/MBF</w:t>
            </w:r>
          </w:p>
        </w:tc>
        <w:tc>
          <w:tcPr>
            <w:tcW w:type="dxa" w:w="1234"/>
          </w:tcPr>
          <w:p>
            <w:r>
              <w:rPr>
                <w:rFonts w:ascii="Calibri" w:hAnsi="Calibri"/>
                <w:sz w:val="22"/>
              </w:rPr>
              <w:t>+10.3%</w:t>
            </w:r>
          </w:p>
        </w:tc>
        <w:tc>
          <w:tcPr>
            <w:tcW w:type="dxa" w:w="1234"/>
          </w:tcPr>
          <w:p>
            <w:r>
              <w:rPr>
                <w:rFonts w:ascii="Calibri" w:hAnsi="Calibri"/>
                <w:sz w:val="22"/>
              </w:rPr>
              <w:t>QTD avg +$65/MBF vs. Q1; current +$60/MBF vs. Q1 (as of Jun 19)</w:t>
            </w:r>
          </w:p>
        </w:tc>
        <w:tc>
          <w:tcPr>
            <w:tcW w:type="dxa" w:w="1234"/>
          </w:tcPr>
          <w:p>
            <w:r>
              <w:rPr>
                <w:rFonts w:ascii="Calibri" w:hAnsi="Calibri"/>
                <w:sz w:val="22"/>
              </w:rPr>
              <w:t>Cons. ~$501 vs. implied ~$508 — slight upside</w:t>
            </w:r>
          </w:p>
        </w:tc>
      </w:tr>
      <w:tr>
        <w:tc>
          <w:tcPr>
            <w:tcW w:type="dxa" w:w="1234"/>
          </w:tcPr>
          <w:p>
            <w:r>
              <w:rPr>
                <w:rFonts w:ascii="Calibri" w:hAnsi="Calibri"/>
                <w:sz w:val="22"/>
              </w:rPr>
              <w:t>OSB Realization ($/MSF)</w:t>
            </w:r>
          </w:p>
        </w:tc>
        <w:tc>
          <w:tcPr>
            <w:tcW w:type="dxa" w:w="1234"/>
          </w:tcPr>
          <w:p>
            <w:r>
              <w:rPr>
                <w:rFonts w:ascii="Calibri" w:hAnsi="Calibri"/>
                <w:sz w:val="22"/>
              </w:rPr>
              <w:t>$236/MSF</w:t>
            </w:r>
          </w:p>
        </w:tc>
        <w:tc>
          <w:tcPr>
            <w:tcW w:type="dxa" w:w="1234"/>
          </w:tcPr>
          <w:p>
            <w:r>
              <w:rPr>
                <w:rFonts w:ascii="Calibri" w:hAnsi="Calibri"/>
                <w:sz w:val="22"/>
              </w:rPr>
              <w:t>$280/MSF</w:t>
            </w:r>
          </w:p>
        </w:tc>
        <w:tc>
          <w:tcPr>
            <w:tcW w:type="dxa" w:w="1234"/>
          </w:tcPr>
          <w:p>
            <w:r>
              <w:rPr>
                <w:rFonts w:ascii="Calibri" w:hAnsi="Calibri"/>
                <w:sz w:val="22"/>
              </w:rPr>
              <w:t>$244/MSF</w:t>
            </w:r>
          </w:p>
        </w:tc>
        <w:tc>
          <w:tcPr>
            <w:tcW w:type="dxa" w:w="1234"/>
          </w:tcPr>
          <w:p>
            <w:r>
              <w:rPr>
                <w:rFonts w:ascii="Calibri" w:hAnsi="Calibri"/>
                <w:sz w:val="22"/>
              </w:rPr>
              <w:t>-12.9%</w:t>
            </w:r>
          </w:p>
        </w:tc>
        <w:tc>
          <w:tcPr>
            <w:tcW w:type="dxa" w:w="1234"/>
          </w:tcPr>
          <w:p>
            <w:r>
              <w:rPr>
                <w:rFonts w:ascii="Calibri" w:hAnsi="Calibri"/>
                <w:sz w:val="22"/>
              </w:rPr>
              <w:t>QTD avg +$5/MSF vs. Q1; current comparable to Q1 (as of Jun 19)</w:t>
            </w:r>
          </w:p>
        </w:tc>
        <w:tc>
          <w:tcPr>
            <w:tcW w:type="dxa" w:w="1234"/>
          </w:tcPr>
          <w:p>
            <w:r>
              <w:rPr>
                <w:rFonts w:ascii="Calibri" w:hAnsi="Calibri"/>
                <w:sz w:val="22"/>
              </w:rPr>
              <w:t>Cons. ~$244 vs. implied ~$241 — roughly in-line</w:t>
            </w:r>
          </w:p>
        </w:tc>
      </w:tr>
      <w:tr>
        <w:tc>
          <w:tcPr>
            <w:tcW w:type="dxa" w:w="1234"/>
          </w:tcPr>
          <w:p>
            <w:r>
              <w:rPr>
                <w:rFonts w:ascii="Calibri" w:hAnsi="Calibri"/>
                <w:sz w:val="22"/>
              </w:rPr>
              <w:t>Operating EPS (Diluted)</w:t>
            </w:r>
          </w:p>
        </w:tc>
        <w:tc>
          <w:tcPr>
            <w:tcW w:type="dxa" w:w="1234"/>
          </w:tcPr>
          <w:p>
            <w:r>
              <w:rPr>
                <w:rFonts w:ascii="Calibri" w:hAnsi="Calibri"/>
                <w:sz w:val="22"/>
              </w:rPr>
              <w:t>$0.11</w:t>
            </w:r>
          </w:p>
        </w:tc>
        <w:tc>
          <w:tcPr>
            <w:tcW w:type="dxa" w:w="1234"/>
          </w:tcPr>
          <w:p>
            <w:r>
              <w:rPr>
                <w:rFonts w:ascii="Calibri" w:hAnsi="Calibri"/>
                <w:sz w:val="22"/>
              </w:rPr>
              <w:t>$0.12</w:t>
            </w:r>
          </w:p>
        </w:tc>
        <w:tc>
          <w:tcPr>
            <w:tcW w:type="dxa" w:w="1234"/>
          </w:tcPr>
          <w:p>
            <w:r>
              <w:rPr>
                <w:rFonts w:ascii="Calibri" w:hAnsi="Calibri"/>
                <w:sz w:val="22"/>
              </w:rPr>
              <w:t>$0.08</w:t>
            </w:r>
          </w:p>
        </w:tc>
        <w:tc>
          <w:tcPr>
            <w:tcW w:type="dxa" w:w="1234"/>
          </w:tcPr>
          <w:p>
            <w:r>
              <w:rPr>
                <w:rFonts w:ascii="Calibri" w:hAnsi="Calibri"/>
                <w:sz w:val="22"/>
              </w:rPr>
              <w:t>-33.3%</w:t>
            </w:r>
          </w:p>
        </w:tc>
        <w:tc>
          <w:tcPr>
            <w:tcW w:type="dxa" w:w="1234"/>
          </w:tcPr>
          <w:p>
            <w:r>
              <w:rPr>
                <w:rFonts w:ascii="Calibri" w:hAnsi="Calibri"/>
                <w:sz w:val="22"/>
              </w:rPr>
              <w:t>No explicit EPS guidance</w:t>
            </w:r>
          </w:p>
        </w:tc>
        <w:tc>
          <w:tcPr>
            <w:tcW w:type="dxa" w:w="1234"/>
          </w:tcPr>
          <w:p>
            <w:r>
              <w:rPr>
                <w:rFonts w:ascii="Calibri" w:hAnsi="Calibri"/>
                <w:sz w:val="22"/>
              </w:rPr>
              <w:t>N/A</w:t>
            </w:r>
          </w:p>
        </w:tc>
      </w:tr>
      <w:tr>
        <w:tc>
          <w:tcPr>
            <w:tcW w:type="dxa" w:w="1234"/>
          </w:tcPr>
          <w:p>
            <w:r>
              <w:rPr>
                <w:rFonts w:ascii="Calibri" w:hAnsi="Calibri"/>
                <w:sz w:val="22"/>
              </w:rPr>
              <w:t>Free Cash Flow ($M)</w:t>
            </w:r>
          </w:p>
        </w:tc>
        <w:tc>
          <w:tcPr>
            <w:tcW w:type="dxa" w:w="1234"/>
          </w:tcPr>
          <w:p>
            <w:r>
              <w:rPr>
                <w:rFonts w:ascii="Calibri" w:hAnsi="Calibri"/>
                <w:sz w:val="22"/>
              </w:rPr>
              <w:t>-$60M</w:t>
            </w:r>
          </w:p>
        </w:tc>
        <w:tc>
          <w:tcPr>
            <w:tcW w:type="dxa" w:w="1234"/>
          </w:tcPr>
          <w:p>
            <w:r>
              <w:rPr>
                <w:rFonts w:ascii="Calibri" w:hAnsi="Calibri"/>
                <w:sz w:val="22"/>
              </w:rPr>
              <w:t>$289M</w:t>
            </w:r>
          </w:p>
        </w:tc>
        <w:tc>
          <w:tcPr>
            <w:tcW w:type="dxa" w:w="1234"/>
          </w:tcPr>
          <w:p>
            <w:r>
              <w:rPr>
                <w:rFonts w:ascii="Calibri" w:hAnsi="Calibri"/>
                <w:sz w:val="22"/>
              </w:rPr>
              <w:t>$139M</w:t>
            </w:r>
          </w:p>
        </w:tc>
        <w:tc>
          <w:tcPr>
            <w:tcW w:type="dxa" w:w="1234"/>
          </w:tcPr>
          <w:p>
            <w:r>
              <w:rPr>
                <w:rFonts w:ascii="Calibri" w:hAnsi="Calibri"/>
                <w:sz w:val="22"/>
              </w:rPr>
              <w:t>-51.9%</w:t>
            </w:r>
          </w:p>
        </w:tc>
        <w:tc>
          <w:tcPr>
            <w:tcW w:type="dxa" w:w="1234"/>
          </w:tcPr>
          <w:p>
            <w:r>
              <w:rPr>
                <w:rFonts w:ascii="Calibri" w:hAnsi="Calibri"/>
                <w:sz w:val="22"/>
              </w:rPr>
              <w:t>No explicit FCF guidance; Monticello CapEx ~$300M in 2026</w:t>
            </w:r>
          </w:p>
        </w:tc>
        <w:tc>
          <w:tcPr>
            <w:tcW w:type="dxa" w:w="1234"/>
          </w:tcPr>
          <w:p>
            <w:r>
              <w:rPr>
                <w:rFonts w:ascii="Calibri" w:hAnsi="Calibri"/>
                <w:sz w:val="22"/>
              </w:rPr>
              <w:t>N/A</w:t>
            </w:r>
          </w:p>
        </w:tc>
      </w:tr>
    </w:tbl>
    <w:p>
      <w:r>
        <w:rPr>
          <w:rFonts w:ascii="Calibri" w:hAnsi="Calibri"/>
          <w:i/>
          <w:color w:val="525866"/>
          <w:sz w:val="22"/>
        </w:rPr>
        <w:t>Source: Visible Alpha consensus and actuals data. Q2 2026 consensus as of latest available (post-May 6, 2026 baseline). Guidance per Q1 2026 earnings call (April 30, 2026) and June 25, 2026 8-K investor presentation update.</w:t>
      </w:r>
    </w:p>
    <w:p>
      <w:pPr>
        <w:pStyle w:val="Heading3"/>
      </w:pPr>
      <w:r>
        <w:rPr>
          <w:rFonts w:ascii="Calibri" w:hAnsi="Calibri"/>
          <w:b/>
          <w:color w:val="3B4259"/>
          <w:sz w:val="24"/>
        </w:rPr>
        <w:t>Table 2 — Beat/Miss History: Last 8 Quarters (Top 2 KPIs: Wood Products Adj. EBITDA &amp; Lumber Realization)</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Quarter</w:t>
            </w:r>
          </w:p>
        </w:tc>
        <w:tc>
          <w:tcPr>
            <w:tcW w:type="dxa" w:w="1440"/>
            <w:shd w:val="clear" w:color="auto" w:fill="3B4259"/>
          </w:tcPr>
          <w:p>
            <w:r>
              <w:rPr>
                <w:rFonts w:ascii="Calibri" w:hAnsi="Calibri"/>
                <w:b/>
                <w:color w:val="FFFFFF"/>
                <w:sz w:val="22"/>
              </w:rPr>
              <w:t>KPI</w:t>
            </w:r>
          </w:p>
        </w:tc>
        <w:tc>
          <w:tcPr>
            <w:tcW w:type="dxa" w:w="1440"/>
            <w:shd w:val="clear" w:color="auto" w:fill="3B4259"/>
          </w:tcPr>
          <w:p>
            <w:r>
              <w:rPr>
                <w:rFonts w:ascii="Calibri" w:hAnsi="Calibri"/>
                <w:b/>
                <w:color w:val="FFFFFF"/>
                <w:sz w:val="22"/>
              </w:rPr>
              <w:t>Reported</w:t>
            </w:r>
          </w:p>
        </w:tc>
        <w:tc>
          <w:tcPr>
            <w:tcW w:type="dxa" w:w="1440"/>
            <w:shd w:val="clear" w:color="auto" w:fill="3B4259"/>
          </w:tcPr>
          <w:p>
            <w:r>
              <w:rPr>
                <w:rFonts w:ascii="Calibri" w:hAnsi="Calibri"/>
                <w:b/>
                <w:color w:val="FFFFFF"/>
                <w:sz w:val="22"/>
              </w:rPr>
              <w:t>Consensus</w:t>
            </w:r>
          </w:p>
        </w:tc>
        <w:tc>
          <w:tcPr>
            <w:tcW w:type="dxa" w:w="1440"/>
            <w:shd w:val="clear" w:color="auto" w:fill="3B4259"/>
          </w:tcPr>
          <w:p>
            <w:r>
              <w:rPr>
                <w:rFonts w:ascii="Calibri" w:hAnsi="Calibri"/>
                <w:b/>
                <w:color w:val="FFFFFF"/>
                <w:sz w:val="22"/>
              </w:rPr>
              <w:t>Surprise %</w:t>
            </w:r>
          </w:p>
        </w:tc>
        <w:tc>
          <w:tcPr>
            <w:tcW w:type="dxa" w:w="1440"/>
            <w:shd w:val="clear" w:color="auto" w:fill="3B4259"/>
          </w:tcPr>
          <w:p>
            <w:r>
              <w:rPr>
                <w:rFonts w:ascii="Calibri" w:hAnsi="Calibri"/>
                <w:b/>
                <w:color w:val="FFFFFF"/>
                <w:sz w:val="22"/>
              </w:rPr>
              <w:t>Result</w:t>
            </w:r>
          </w:p>
        </w:tc>
      </w:tr>
      <w:tr>
        <w:tc>
          <w:tcPr>
            <w:tcW w:type="dxa" w:w="1440"/>
          </w:tcPr>
          <w:p>
            <w:r>
              <w:rPr>
                <w:rFonts w:ascii="Calibri" w:hAnsi="Calibri"/>
                <w:sz w:val="22"/>
              </w:rPr>
              <w:t>Q1 2026</w:t>
            </w:r>
          </w:p>
        </w:tc>
        <w:tc>
          <w:tcPr>
            <w:tcW w:type="dxa" w:w="1440"/>
          </w:tcPr>
          <w:p>
            <w:r>
              <w:rPr>
                <w:rFonts w:ascii="Calibri" w:hAnsi="Calibri"/>
                <w:sz w:val="22"/>
              </w:rPr>
              <w:t>Wood Products Adj. EBITDA</w:t>
            </w:r>
          </w:p>
        </w:tc>
        <w:tc>
          <w:tcPr>
            <w:tcW w:type="dxa" w:w="1440"/>
          </w:tcPr>
          <w:p>
            <w:r>
              <w:rPr>
                <w:rFonts w:ascii="Calibri" w:hAnsi="Calibri"/>
                <w:sz w:val="22"/>
              </w:rPr>
              <w:t>$71M</w:t>
            </w:r>
          </w:p>
        </w:tc>
        <w:tc>
          <w:tcPr>
            <w:tcW w:type="dxa" w:w="1440"/>
          </w:tcPr>
          <w:p>
            <w:r>
              <w:rPr>
                <w:rFonts w:ascii="Calibri" w:hAnsi="Calibri"/>
                <w:sz w:val="22"/>
              </w:rPr>
              <w:t>$51M</w:t>
            </w:r>
          </w:p>
        </w:tc>
        <w:tc>
          <w:tcPr>
            <w:tcW w:type="dxa" w:w="1440"/>
          </w:tcPr>
          <w:p>
            <w:r>
              <w:rPr>
                <w:rFonts w:ascii="Calibri" w:hAnsi="Calibri"/>
                <w:b/>
                <w:color w:val="30A46C"/>
                <w:sz w:val="22"/>
              </w:rPr>
              <w:t>+38.9%</w:t>
            </w:r>
          </w:p>
        </w:tc>
        <w:tc>
          <w:tcPr>
            <w:tcW w:type="dxa" w:w="1440"/>
          </w:tcPr>
          <w:p>
            <w:r>
              <w:rPr>
                <w:rFonts w:ascii="Calibri" w:hAnsi="Calibri"/>
                <w:sz w:val="22"/>
              </w:rPr>
              <w:t>BEAT</w:t>
            </w:r>
          </w:p>
        </w:tc>
      </w:tr>
      <w:tr>
        <w:tc>
          <w:tcPr>
            <w:tcW w:type="dxa" w:w="1440"/>
          </w:tcPr>
          <w:p>
            <w:r>
              <w:rPr>
                <w:rFonts w:ascii="Calibri" w:hAnsi="Calibri"/>
                <w:sz w:val="22"/>
              </w:rPr>
              <w:t>Q1 2026</w:t>
            </w:r>
          </w:p>
        </w:tc>
        <w:tc>
          <w:tcPr>
            <w:tcW w:type="dxa" w:w="1440"/>
          </w:tcPr>
          <w:p>
            <w:r>
              <w:rPr>
                <w:rFonts w:ascii="Calibri" w:hAnsi="Calibri"/>
                <w:sz w:val="22"/>
              </w:rPr>
              <w:t>Lumber Realization ($/MBF)</w:t>
            </w:r>
          </w:p>
        </w:tc>
        <w:tc>
          <w:tcPr>
            <w:tcW w:type="dxa" w:w="1440"/>
          </w:tcPr>
          <w:p>
            <w:r>
              <w:rPr>
                <w:rFonts w:ascii="Calibri" w:hAnsi="Calibri"/>
                <w:sz w:val="22"/>
              </w:rPr>
              <w:t>$443</w:t>
            </w:r>
          </w:p>
        </w:tc>
        <w:tc>
          <w:tcPr>
            <w:tcW w:type="dxa" w:w="1440"/>
          </w:tcPr>
          <w:p>
            <w:r>
              <w:rPr>
                <w:rFonts w:ascii="Calibri" w:hAnsi="Calibri"/>
                <w:sz w:val="22"/>
              </w:rPr>
              <w:t>$437</w:t>
            </w:r>
          </w:p>
        </w:tc>
        <w:tc>
          <w:tcPr>
            <w:tcW w:type="dxa" w:w="1440"/>
          </w:tcPr>
          <w:p>
            <w:r>
              <w:rPr>
                <w:rFonts w:ascii="Calibri" w:hAnsi="Calibri"/>
                <w:b/>
                <w:color w:val="30A46C"/>
                <w:sz w:val="22"/>
              </w:rPr>
              <w:t>+1.4%</w:t>
            </w:r>
          </w:p>
        </w:tc>
        <w:tc>
          <w:tcPr>
            <w:tcW w:type="dxa" w:w="1440"/>
          </w:tcPr>
          <w:p>
            <w:r>
              <w:rPr>
                <w:rFonts w:ascii="Calibri" w:hAnsi="Calibri"/>
                <w:sz w:val="22"/>
              </w:rPr>
              <w:t>BEAT</w:t>
            </w:r>
          </w:p>
        </w:tc>
      </w:tr>
      <w:tr>
        <w:tc>
          <w:tcPr>
            <w:tcW w:type="dxa" w:w="1440"/>
          </w:tcPr>
          <w:p>
            <w:r>
              <w:rPr>
                <w:rFonts w:ascii="Calibri" w:hAnsi="Calibri"/>
                <w:sz w:val="22"/>
              </w:rPr>
              <w:t>Q4 2025</w:t>
            </w:r>
          </w:p>
        </w:tc>
        <w:tc>
          <w:tcPr>
            <w:tcW w:type="dxa" w:w="1440"/>
          </w:tcPr>
          <w:p>
            <w:r>
              <w:rPr>
                <w:rFonts w:ascii="Calibri" w:hAnsi="Calibri"/>
                <w:sz w:val="22"/>
              </w:rPr>
              <w:t>Wood Products Adj. EBITDA</w:t>
            </w:r>
          </w:p>
        </w:tc>
        <w:tc>
          <w:tcPr>
            <w:tcW w:type="dxa" w:w="1440"/>
          </w:tcPr>
          <w:p>
            <w:r>
              <w:rPr>
                <w:rFonts w:ascii="Calibri" w:hAnsi="Calibri"/>
                <w:sz w:val="22"/>
              </w:rPr>
              <w:t>-$20M</w:t>
            </w:r>
          </w:p>
        </w:tc>
        <w:tc>
          <w:tcPr>
            <w:tcW w:type="dxa" w:w="1440"/>
          </w:tcPr>
          <w:p>
            <w:r>
              <w:rPr>
                <w:rFonts w:ascii="Calibri" w:hAnsi="Calibri"/>
                <w:sz w:val="22"/>
              </w:rPr>
              <w:t>-$21M</w:t>
            </w:r>
          </w:p>
        </w:tc>
        <w:tc>
          <w:tcPr>
            <w:tcW w:type="dxa" w:w="1440"/>
          </w:tcPr>
          <w:p>
            <w:r>
              <w:rPr>
                <w:rFonts w:ascii="Calibri" w:hAnsi="Calibri"/>
                <w:b/>
                <w:color w:val="30A46C"/>
                <w:sz w:val="22"/>
              </w:rPr>
              <w:t>+5.0%</w:t>
            </w:r>
          </w:p>
        </w:tc>
        <w:tc>
          <w:tcPr>
            <w:tcW w:type="dxa" w:w="1440"/>
          </w:tcPr>
          <w:p>
            <w:r>
              <w:rPr>
                <w:rFonts w:ascii="Calibri" w:hAnsi="Calibri"/>
                <w:sz w:val="22"/>
              </w:rPr>
              <w:t>BEAT</w:t>
            </w:r>
          </w:p>
        </w:tc>
      </w:tr>
      <w:tr>
        <w:tc>
          <w:tcPr>
            <w:tcW w:type="dxa" w:w="1440"/>
          </w:tcPr>
          <w:p>
            <w:r>
              <w:rPr>
                <w:rFonts w:ascii="Calibri" w:hAnsi="Calibri"/>
                <w:sz w:val="22"/>
              </w:rPr>
              <w:t>Q4 2025</w:t>
            </w:r>
          </w:p>
        </w:tc>
        <w:tc>
          <w:tcPr>
            <w:tcW w:type="dxa" w:w="1440"/>
          </w:tcPr>
          <w:p>
            <w:r>
              <w:rPr>
                <w:rFonts w:ascii="Calibri" w:hAnsi="Calibri"/>
                <w:sz w:val="22"/>
              </w:rPr>
              <w:t>Lumber Realization ($/MBF)</w:t>
            </w:r>
          </w:p>
        </w:tc>
        <w:tc>
          <w:tcPr>
            <w:tcW w:type="dxa" w:w="1440"/>
          </w:tcPr>
          <w:p>
            <w:r>
              <w:rPr>
                <w:rFonts w:ascii="Calibri" w:hAnsi="Calibri"/>
                <w:sz w:val="22"/>
              </w:rPr>
              <w:t>$393</w:t>
            </w:r>
          </w:p>
        </w:tc>
        <w:tc>
          <w:tcPr>
            <w:tcW w:type="dxa" w:w="1440"/>
          </w:tcPr>
          <w:p>
            <w:r>
              <w:rPr>
                <w:rFonts w:ascii="Calibri" w:hAnsi="Calibri"/>
                <w:sz w:val="22"/>
              </w:rPr>
              <w:t>$387</w:t>
            </w:r>
          </w:p>
        </w:tc>
        <w:tc>
          <w:tcPr>
            <w:tcW w:type="dxa" w:w="1440"/>
          </w:tcPr>
          <w:p>
            <w:r>
              <w:rPr>
                <w:rFonts w:ascii="Calibri" w:hAnsi="Calibri"/>
                <w:b/>
                <w:color w:val="30A46C"/>
                <w:sz w:val="22"/>
              </w:rPr>
              <w:t>+1.5%</w:t>
            </w:r>
          </w:p>
        </w:tc>
        <w:tc>
          <w:tcPr>
            <w:tcW w:type="dxa" w:w="1440"/>
          </w:tcPr>
          <w:p>
            <w:r>
              <w:rPr>
                <w:rFonts w:ascii="Calibri" w:hAnsi="Calibri"/>
                <w:sz w:val="22"/>
              </w:rPr>
              <w:t>BEAT</w:t>
            </w:r>
          </w:p>
        </w:tc>
      </w:tr>
      <w:tr>
        <w:tc>
          <w:tcPr>
            <w:tcW w:type="dxa" w:w="1440"/>
          </w:tcPr>
          <w:p>
            <w:r>
              <w:rPr>
                <w:rFonts w:ascii="Calibri" w:hAnsi="Calibri"/>
                <w:sz w:val="22"/>
              </w:rPr>
              <w:t>Q3 2025</w:t>
            </w:r>
          </w:p>
        </w:tc>
        <w:tc>
          <w:tcPr>
            <w:tcW w:type="dxa" w:w="1440"/>
          </w:tcPr>
          <w:p>
            <w:r>
              <w:rPr>
                <w:rFonts w:ascii="Calibri" w:hAnsi="Calibri"/>
                <w:sz w:val="22"/>
              </w:rPr>
              <w:t>Wood Products Adj. EBITDA</w:t>
            </w:r>
          </w:p>
        </w:tc>
        <w:tc>
          <w:tcPr>
            <w:tcW w:type="dxa" w:w="1440"/>
          </w:tcPr>
          <w:p>
            <w:r>
              <w:rPr>
                <w:rFonts w:ascii="Calibri" w:hAnsi="Calibri"/>
                <w:sz w:val="22"/>
              </w:rPr>
              <w:t>$8M</w:t>
            </w:r>
          </w:p>
        </w:tc>
        <w:tc>
          <w:tcPr>
            <w:tcW w:type="dxa" w:w="1440"/>
          </w:tcPr>
          <w:p>
            <w:r>
              <w:rPr>
                <w:rFonts w:ascii="Calibri" w:hAnsi="Calibri"/>
                <w:sz w:val="22"/>
              </w:rPr>
              <w:t>-$7M</w:t>
            </w:r>
          </w:p>
        </w:tc>
        <w:tc>
          <w:tcPr>
            <w:tcW w:type="dxa" w:w="1440"/>
          </w:tcPr>
          <w:p>
            <w:r>
              <w:rPr>
                <w:rFonts w:ascii="Calibri" w:hAnsi="Calibri"/>
                <w:b/>
                <w:color w:val="30A46C"/>
                <w:sz w:val="22"/>
              </w:rPr>
              <w:t>+214%</w:t>
            </w:r>
          </w:p>
        </w:tc>
        <w:tc>
          <w:tcPr>
            <w:tcW w:type="dxa" w:w="1440"/>
          </w:tcPr>
          <w:p>
            <w:r>
              <w:rPr>
                <w:rFonts w:ascii="Calibri" w:hAnsi="Calibri"/>
                <w:sz w:val="22"/>
              </w:rPr>
              <w:t>BEAT</w:t>
            </w:r>
          </w:p>
        </w:tc>
      </w:tr>
      <w:tr>
        <w:tc>
          <w:tcPr>
            <w:tcW w:type="dxa" w:w="1440"/>
          </w:tcPr>
          <w:p>
            <w:r>
              <w:rPr>
                <w:rFonts w:ascii="Calibri" w:hAnsi="Calibri"/>
                <w:sz w:val="22"/>
              </w:rPr>
              <w:t>Q3 2025</w:t>
            </w:r>
          </w:p>
        </w:tc>
        <w:tc>
          <w:tcPr>
            <w:tcW w:type="dxa" w:w="1440"/>
          </w:tcPr>
          <w:p>
            <w:r>
              <w:rPr>
                <w:rFonts w:ascii="Calibri" w:hAnsi="Calibri"/>
                <w:sz w:val="22"/>
              </w:rPr>
              <w:t>Lumber Realization ($/MBF)</w:t>
            </w:r>
          </w:p>
        </w:tc>
        <w:tc>
          <w:tcPr>
            <w:tcW w:type="dxa" w:w="1440"/>
          </w:tcPr>
          <w:p>
            <w:r>
              <w:rPr>
                <w:rFonts w:ascii="Calibri" w:hAnsi="Calibri"/>
                <w:sz w:val="22"/>
              </w:rPr>
              <w:t>$405</w:t>
            </w:r>
          </w:p>
        </w:tc>
        <w:tc>
          <w:tcPr>
            <w:tcW w:type="dxa" w:w="1440"/>
          </w:tcPr>
          <w:p>
            <w:r>
              <w:rPr>
                <w:rFonts w:ascii="Calibri" w:hAnsi="Calibri"/>
                <w:sz w:val="22"/>
              </w:rPr>
              <w:t>$402</w:t>
            </w:r>
          </w:p>
        </w:tc>
        <w:tc>
          <w:tcPr>
            <w:tcW w:type="dxa" w:w="1440"/>
          </w:tcPr>
          <w:p>
            <w:r>
              <w:rPr>
                <w:rFonts w:ascii="Calibri" w:hAnsi="Calibri"/>
                <w:b/>
                <w:color w:val="30A46C"/>
                <w:sz w:val="22"/>
              </w:rPr>
              <w:t>+0.7%</w:t>
            </w:r>
          </w:p>
        </w:tc>
        <w:tc>
          <w:tcPr>
            <w:tcW w:type="dxa" w:w="1440"/>
          </w:tcPr>
          <w:p>
            <w:r>
              <w:rPr>
                <w:rFonts w:ascii="Calibri" w:hAnsi="Calibri"/>
                <w:sz w:val="22"/>
              </w:rPr>
              <w:t>BEAT</w:t>
            </w:r>
          </w:p>
        </w:tc>
      </w:tr>
      <w:tr>
        <w:tc>
          <w:tcPr>
            <w:tcW w:type="dxa" w:w="1440"/>
          </w:tcPr>
          <w:p>
            <w:r>
              <w:rPr>
                <w:rFonts w:ascii="Calibri" w:hAnsi="Calibri"/>
                <w:sz w:val="22"/>
              </w:rPr>
              <w:t>Q2 2025</w:t>
            </w:r>
          </w:p>
        </w:tc>
        <w:tc>
          <w:tcPr>
            <w:tcW w:type="dxa" w:w="1440"/>
          </w:tcPr>
          <w:p>
            <w:r>
              <w:rPr>
                <w:rFonts w:ascii="Calibri" w:hAnsi="Calibri"/>
                <w:sz w:val="22"/>
              </w:rPr>
              <w:t>Wood Products Adj. EBITDA</w:t>
            </w:r>
          </w:p>
        </w:tc>
        <w:tc>
          <w:tcPr>
            <w:tcW w:type="dxa" w:w="1440"/>
          </w:tcPr>
          <w:p>
            <w:r>
              <w:rPr>
                <w:rFonts w:ascii="Calibri" w:hAnsi="Calibri"/>
                <w:sz w:val="22"/>
              </w:rPr>
              <w:t>$101M</w:t>
            </w:r>
          </w:p>
        </w:tc>
        <w:tc>
          <w:tcPr>
            <w:tcW w:type="dxa" w:w="1440"/>
          </w:tcPr>
          <w:p>
            <w:r>
              <w:rPr>
                <w:rFonts w:ascii="Calibri" w:hAnsi="Calibri"/>
                <w:sz w:val="22"/>
              </w:rPr>
              <w:t>$128M</w:t>
            </w:r>
          </w:p>
        </w:tc>
        <w:tc>
          <w:tcPr>
            <w:tcW w:type="dxa" w:w="1440"/>
          </w:tcPr>
          <w:p>
            <w:r>
              <w:rPr>
                <w:rFonts w:ascii="Calibri" w:hAnsi="Calibri"/>
                <w:b/>
                <w:color w:val="E5484D"/>
                <w:sz w:val="22"/>
              </w:rPr>
              <w:t>-21.1%</w:t>
            </w:r>
          </w:p>
        </w:tc>
        <w:tc>
          <w:tcPr>
            <w:tcW w:type="dxa" w:w="1440"/>
          </w:tcPr>
          <w:p>
            <w:r>
              <w:rPr>
                <w:rFonts w:ascii="Calibri" w:hAnsi="Calibri"/>
                <w:sz w:val="22"/>
              </w:rPr>
              <w:t>MISS</w:t>
            </w:r>
          </w:p>
        </w:tc>
      </w:tr>
      <w:tr>
        <w:tc>
          <w:tcPr>
            <w:tcW w:type="dxa" w:w="1440"/>
          </w:tcPr>
          <w:p>
            <w:r>
              <w:rPr>
                <w:rFonts w:ascii="Calibri" w:hAnsi="Calibri"/>
                <w:sz w:val="22"/>
              </w:rPr>
              <w:t>Q2 2025</w:t>
            </w:r>
          </w:p>
        </w:tc>
        <w:tc>
          <w:tcPr>
            <w:tcW w:type="dxa" w:w="1440"/>
          </w:tcPr>
          <w:p>
            <w:r>
              <w:rPr>
                <w:rFonts w:ascii="Calibri" w:hAnsi="Calibri"/>
                <w:sz w:val="22"/>
              </w:rPr>
              <w:t>Lumber Realization ($/MBF)</w:t>
            </w:r>
          </w:p>
        </w:tc>
        <w:tc>
          <w:tcPr>
            <w:tcW w:type="dxa" w:w="1440"/>
          </w:tcPr>
          <w:p>
            <w:r>
              <w:rPr>
                <w:rFonts w:ascii="Calibri" w:hAnsi="Calibri"/>
                <w:sz w:val="22"/>
              </w:rPr>
              <w:t>$454</w:t>
            </w:r>
          </w:p>
        </w:tc>
        <w:tc>
          <w:tcPr>
            <w:tcW w:type="dxa" w:w="1440"/>
          </w:tcPr>
          <w:p>
            <w:r>
              <w:rPr>
                <w:rFonts w:ascii="Calibri" w:hAnsi="Calibri"/>
                <w:sz w:val="22"/>
              </w:rPr>
              <w:t>$464</w:t>
            </w:r>
          </w:p>
        </w:tc>
        <w:tc>
          <w:tcPr>
            <w:tcW w:type="dxa" w:w="1440"/>
          </w:tcPr>
          <w:p>
            <w:r>
              <w:rPr>
                <w:rFonts w:ascii="Calibri" w:hAnsi="Calibri"/>
                <w:b/>
                <w:color w:val="E5484D"/>
                <w:sz w:val="22"/>
              </w:rPr>
              <w:t>-2.2%</w:t>
            </w:r>
          </w:p>
        </w:tc>
        <w:tc>
          <w:tcPr>
            <w:tcW w:type="dxa" w:w="1440"/>
          </w:tcPr>
          <w:p>
            <w:r>
              <w:rPr>
                <w:rFonts w:ascii="Calibri" w:hAnsi="Calibri"/>
                <w:sz w:val="22"/>
              </w:rPr>
              <w:t>MISS</w:t>
            </w:r>
          </w:p>
        </w:tc>
      </w:tr>
      <w:tr>
        <w:tc>
          <w:tcPr>
            <w:tcW w:type="dxa" w:w="1440"/>
          </w:tcPr>
          <w:p>
            <w:r>
              <w:rPr>
                <w:rFonts w:ascii="Calibri" w:hAnsi="Calibri"/>
                <w:sz w:val="22"/>
              </w:rPr>
              <w:t>Q1 2025</w:t>
            </w:r>
          </w:p>
        </w:tc>
        <w:tc>
          <w:tcPr>
            <w:tcW w:type="dxa" w:w="1440"/>
          </w:tcPr>
          <w:p>
            <w:r>
              <w:rPr>
                <w:rFonts w:ascii="Calibri" w:hAnsi="Calibri"/>
                <w:sz w:val="22"/>
              </w:rPr>
              <w:t>Wood Products Adj. EBITDA</w:t>
            </w:r>
          </w:p>
        </w:tc>
        <w:tc>
          <w:tcPr>
            <w:tcW w:type="dxa" w:w="1440"/>
          </w:tcPr>
          <w:p>
            <w:r>
              <w:rPr>
                <w:rFonts w:ascii="Calibri" w:hAnsi="Calibri"/>
                <w:sz w:val="22"/>
              </w:rPr>
              <w:t>$161M</w:t>
            </w:r>
          </w:p>
        </w:tc>
        <w:tc>
          <w:tcPr>
            <w:tcW w:type="dxa" w:w="1440"/>
          </w:tcPr>
          <w:p>
            <w:r>
              <w:rPr>
                <w:rFonts w:ascii="Calibri" w:hAnsi="Calibri"/>
                <w:sz w:val="22"/>
              </w:rPr>
              <w:t>$153M</w:t>
            </w:r>
          </w:p>
        </w:tc>
        <w:tc>
          <w:tcPr>
            <w:tcW w:type="dxa" w:w="1440"/>
          </w:tcPr>
          <w:p>
            <w:r>
              <w:rPr>
                <w:rFonts w:ascii="Calibri" w:hAnsi="Calibri"/>
                <w:b/>
                <w:color w:val="30A46C"/>
                <w:sz w:val="22"/>
              </w:rPr>
              <w:t>+5.2%</w:t>
            </w:r>
          </w:p>
        </w:tc>
        <w:tc>
          <w:tcPr>
            <w:tcW w:type="dxa" w:w="1440"/>
          </w:tcPr>
          <w:p>
            <w:r>
              <w:rPr>
                <w:rFonts w:ascii="Calibri" w:hAnsi="Calibri"/>
                <w:sz w:val="22"/>
              </w:rPr>
              <w:t>BEAT</w:t>
            </w:r>
          </w:p>
        </w:tc>
      </w:tr>
      <w:tr>
        <w:tc>
          <w:tcPr>
            <w:tcW w:type="dxa" w:w="1440"/>
          </w:tcPr>
          <w:p>
            <w:r>
              <w:rPr>
                <w:rFonts w:ascii="Calibri" w:hAnsi="Calibri"/>
                <w:sz w:val="22"/>
              </w:rPr>
              <w:t>Q1 2025</w:t>
            </w:r>
          </w:p>
        </w:tc>
        <w:tc>
          <w:tcPr>
            <w:tcW w:type="dxa" w:w="1440"/>
          </w:tcPr>
          <w:p>
            <w:r>
              <w:rPr>
                <w:rFonts w:ascii="Calibri" w:hAnsi="Calibri"/>
                <w:sz w:val="22"/>
              </w:rPr>
              <w:t>Lumber Realization ($/MBF)</w:t>
            </w:r>
          </w:p>
        </w:tc>
        <w:tc>
          <w:tcPr>
            <w:tcW w:type="dxa" w:w="1440"/>
          </w:tcPr>
          <w:p>
            <w:r>
              <w:rPr>
                <w:rFonts w:ascii="Calibri" w:hAnsi="Calibri"/>
                <w:sz w:val="22"/>
              </w:rPr>
              <w:t>$463</w:t>
            </w:r>
          </w:p>
        </w:tc>
        <w:tc>
          <w:tcPr>
            <w:tcW w:type="dxa" w:w="1440"/>
          </w:tcPr>
          <w:p>
            <w:r>
              <w:rPr>
                <w:rFonts w:ascii="Calibri" w:hAnsi="Calibri"/>
                <w:sz w:val="22"/>
              </w:rPr>
              <w:t>$454</w:t>
            </w:r>
          </w:p>
        </w:tc>
        <w:tc>
          <w:tcPr>
            <w:tcW w:type="dxa" w:w="1440"/>
          </w:tcPr>
          <w:p>
            <w:r>
              <w:rPr>
                <w:rFonts w:ascii="Calibri" w:hAnsi="Calibri"/>
                <w:b/>
                <w:color w:val="30A46C"/>
                <w:sz w:val="22"/>
              </w:rPr>
              <w:t>+2.0%</w:t>
            </w:r>
          </w:p>
        </w:tc>
        <w:tc>
          <w:tcPr>
            <w:tcW w:type="dxa" w:w="1440"/>
          </w:tcPr>
          <w:p>
            <w:r>
              <w:rPr>
                <w:rFonts w:ascii="Calibri" w:hAnsi="Calibri"/>
                <w:sz w:val="22"/>
              </w:rPr>
              <w:t>BEAT</w:t>
            </w:r>
          </w:p>
        </w:tc>
      </w:tr>
      <w:tr>
        <w:tc>
          <w:tcPr>
            <w:tcW w:type="dxa" w:w="1440"/>
          </w:tcPr>
          <w:p>
            <w:r>
              <w:rPr>
                <w:rFonts w:ascii="Calibri" w:hAnsi="Calibri"/>
                <w:sz w:val="22"/>
              </w:rPr>
              <w:t>Q4 2024</w:t>
            </w:r>
          </w:p>
        </w:tc>
        <w:tc>
          <w:tcPr>
            <w:tcW w:type="dxa" w:w="1440"/>
          </w:tcPr>
          <w:p>
            <w:r>
              <w:rPr>
                <w:rFonts w:ascii="Calibri" w:hAnsi="Calibri"/>
                <w:sz w:val="22"/>
              </w:rPr>
              <w:t>Wood Products Adj. EBITDA</w:t>
            </w:r>
          </w:p>
        </w:tc>
        <w:tc>
          <w:tcPr>
            <w:tcW w:type="dxa" w:w="1440"/>
          </w:tcPr>
          <w:p>
            <w:r>
              <w:rPr>
                <w:rFonts w:ascii="Calibri" w:hAnsi="Calibri"/>
                <w:sz w:val="22"/>
              </w:rPr>
              <w:t>$161M</w:t>
            </w:r>
          </w:p>
        </w:tc>
        <w:tc>
          <w:tcPr>
            <w:tcW w:type="dxa" w:w="1440"/>
          </w:tcPr>
          <w:p>
            <w:r>
              <w:rPr>
                <w:rFonts w:ascii="Calibri" w:hAnsi="Calibri"/>
                <w:sz w:val="22"/>
              </w:rPr>
              <w:t>$152M</w:t>
            </w:r>
          </w:p>
        </w:tc>
        <w:tc>
          <w:tcPr>
            <w:tcW w:type="dxa" w:w="1440"/>
          </w:tcPr>
          <w:p>
            <w:r>
              <w:rPr>
                <w:rFonts w:ascii="Calibri" w:hAnsi="Calibri"/>
                <w:b/>
                <w:color w:val="30A46C"/>
                <w:sz w:val="22"/>
              </w:rPr>
              <w:t>+5.9%</w:t>
            </w:r>
          </w:p>
        </w:tc>
        <w:tc>
          <w:tcPr>
            <w:tcW w:type="dxa" w:w="1440"/>
          </w:tcPr>
          <w:p>
            <w:r>
              <w:rPr>
                <w:rFonts w:ascii="Calibri" w:hAnsi="Calibri"/>
                <w:sz w:val="22"/>
              </w:rPr>
              <w:t>BEAT</w:t>
            </w:r>
          </w:p>
        </w:tc>
      </w:tr>
      <w:tr>
        <w:tc>
          <w:tcPr>
            <w:tcW w:type="dxa" w:w="1440"/>
          </w:tcPr>
          <w:p>
            <w:r>
              <w:rPr>
                <w:rFonts w:ascii="Calibri" w:hAnsi="Calibri"/>
                <w:sz w:val="22"/>
              </w:rPr>
              <w:t>Q4 2024</w:t>
            </w:r>
          </w:p>
        </w:tc>
        <w:tc>
          <w:tcPr>
            <w:tcW w:type="dxa" w:w="1440"/>
          </w:tcPr>
          <w:p>
            <w:r>
              <w:rPr>
                <w:rFonts w:ascii="Calibri" w:hAnsi="Calibri"/>
                <w:sz w:val="22"/>
              </w:rPr>
              <w:t>Lumber Realization ($/MBF)</w:t>
            </w:r>
          </w:p>
        </w:tc>
        <w:tc>
          <w:tcPr>
            <w:tcW w:type="dxa" w:w="1440"/>
          </w:tcPr>
          <w:p>
            <w:r>
              <w:rPr>
                <w:rFonts w:ascii="Calibri" w:hAnsi="Calibri"/>
                <w:sz w:val="22"/>
              </w:rPr>
              <w:t>$442</w:t>
            </w:r>
          </w:p>
        </w:tc>
        <w:tc>
          <w:tcPr>
            <w:tcW w:type="dxa" w:w="1440"/>
          </w:tcPr>
          <w:p>
            <w:r>
              <w:rPr>
                <w:rFonts w:ascii="Calibri" w:hAnsi="Calibri"/>
                <w:sz w:val="22"/>
              </w:rPr>
              <w:t>$440</w:t>
            </w:r>
          </w:p>
        </w:tc>
        <w:tc>
          <w:tcPr>
            <w:tcW w:type="dxa" w:w="1440"/>
          </w:tcPr>
          <w:p>
            <w:r>
              <w:rPr>
                <w:rFonts w:ascii="Calibri" w:hAnsi="Calibri"/>
                <w:b/>
                <w:color w:val="30A46C"/>
                <w:sz w:val="22"/>
              </w:rPr>
              <w:t>+0.5%</w:t>
            </w:r>
          </w:p>
        </w:tc>
        <w:tc>
          <w:tcPr>
            <w:tcW w:type="dxa" w:w="1440"/>
          </w:tcPr>
          <w:p>
            <w:r>
              <w:rPr>
                <w:rFonts w:ascii="Calibri" w:hAnsi="Calibri"/>
                <w:sz w:val="22"/>
              </w:rPr>
              <w:t>BEAT</w:t>
            </w:r>
          </w:p>
        </w:tc>
      </w:tr>
      <w:tr>
        <w:tc>
          <w:tcPr>
            <w:tcW w:type="dxa" w:w="1440"/>
          </w:tcPr>
          <w:p>
            <w:r>
              <w:rPr>
                <w:rFonts w:ascii="Calibri" w:hAnsi="Calibri"/>
                <w:sz w:val="22"/>
              </w:rPr>
              <w:t>Q3 2024</w:t>
            </w:r>
          </w:p>
        </w:tc>
        <w:tc>
          <w:tcPr>
            <w:tcW w:type="dxa" w:w="1440"/>
          </w:tcPr>
          <w:p>
            <w:r>
              <w:rPr>
                <w:rFonts w:ascii="Calibri" w:hAnsi="Calibri"/>
                <w:sz w:val="22"/>
              </w:rPr>
              <w:t>Wood Products Adj. EBITDA</w:t>
            </w:r>
          </w:p>
        </w:tc>
        <w:tc>
          <w:tcPr>
            <w:tcW w:type="dxa" w:w="1440"/>
          </w:tcPr>
          <w:p>
            <w:r>
              <w:rPr>
                <w:rFonts w:ascii="Calibri" w:hAnsi="Calibri"/>
                <w:sz w:val="22"/>
              </w:rPr>
              <w:t>$91M</w:t>
            </w:r>
          </w:p>
        </w:tc>
        <w:tc>
          <w:tcPr>
            <w:tcW w:type="dxa" w:w="1440"/>
          </w:tcPr>
          <w:p>
            <w:r>
              <w:rPr>
                <w:rFonts w:ascii="Calibri" w:hAnsi="Calibri"/>
                <w:sz w:val="22"/>
              </w:rPr>
              <w:t>$92M</w:t>
            </w:r>
          </w:p>
        </w:tc>
        <w:tc>
          <w:tcPr>
            <w:tcW w:type="dxa" w:w="1440"/>
          </w:tcPr>
          <w:p>
            <w:r>
              <w:rPr>
                <w:rFonts w:ascii="Calibri" w:hAnsi="Calibri"/>
                <w:b/>
                <w:color w:val="E5484D"/>
                <w:sz w:val="22"/>
              </w:rPr>
              <w:t>-1.1%</w:t>
            </w:r>
          </w:p>
        </w:tc>
        <w:tc>
          <w:tcPr>
            <w:tcW w:type="dxa" w:w="1440"/>
          </w:tcPr>
          <w:p>
            <w:r>
              <w:rPr>
                <w:rFonts w:ascii="Calibri" w:hAnsi="Calibri"/>
                <w:sz w:val="22"/>
              </w:rPr>
              <w:t>MISS</w:t>
            </w:r>
          </w:p>
        </w:tc>
      </w:tr>
      <w:tr>
        <w:tc>
          <w:tcPr>
            <w:tcW w:type="dxa" w:w="1440"/>
          </w:tcPr>
          <w:p>
            <w:r>
              <w:rPr>
                <w:rFonts w:ascii="Calibri" w:hAnsi="Calibri"/>
                <w:sz w:val="22"/>
              </w:rPr>
              <w:t>Q3 2024</w:t>
            </w:r>
          </w:p>
        </w:tc>
        <w:tc>
          <w:tcPr>
            <w:tcW w:type="dxa" w:w="1440"/>
          </w:tcPr>
          <w:p>
            <w:r>
              <w:rPr>
                <w:rFonts w:ascii="Calibri" w:hAnsi="Calibri"/>
                <w:sz w:val="22"/>
              </w:rPr>
              <w:t>Lumber Realization ($/MBF)</w:t>
            </w:r>
          </w:p>
        </w:tc>
        <w:tc>
          <w:tcPr>
            <w:tcW w:type="dxa" w:w="1440"/>
          </w:tcPr>
          <w:p>
            <w:r>
              <w:rPr>
                <w:rFonts w:ascii="Calibri" w:hAnsi="Calibri"/>
                <w:sz w:val="22"/>
              </w:rPr>
              <w:t>$404</w:t>
            </w:r>
          </w:p>
        </w:tc>
        <w:tc>
          <w:tcPr>
            <w:tcW w:type="dxa" w:w="1440"/>
          </w:tcPr>
          <w:p>
            <w:r>
              <w:rPr>
                <w:rFonts w:ascii="Calibri" w:hAnsi="Calibri"/>
                <w:sz w:val="22"/>
              </w:rPr>
              <w:t>$407</w:t>
            </w:r>
          </w:p>
        </w:tc>
        <w:tc>
          <w:tcPr>
            <w:tcW w:type="dxa" w:w="1440"/>
          </w:tcPr>
          <w:p>
            <w:r>
              <w:rPr>
                <w:rFonts w:ascii="Calibri" w:hAnsi="Calibri"/>
                <w:b/>
                <w:color w:val="E5484D"/>
                <w:sz w:val="22"/>
              </w:rPr>
              <w:t>-0.7%</w:t>
            </w:r>
          </w:p>
        </w:tc>
        <w:tc>
          <w:tcPr>
            <w:tcW w:type="dxa" w:w="1440"/>
          </w:tcPr>
          <w:p>
            <w:r>
              <w:rPr>
                <w:rFonts w:ascii="Calibri" w:hAnsi="Calibri"/>
                <w:sz w:val="22"/>
              </w:rPr>
              <w:t>MISS</w:t>
            </w:r>
          </w:p>
        </w:tc>
      </w:tr>
      <w:tr>
        <w:tc>
          <w:tcPr>
            <w:tcW w:type="dxa" w:w="1440"/>
          </w:tcPr>
          <w:p>
            <w:r>
              <w:rPr>
                <w:rFonts w:ascii="Calibri" w:hAnsi="Calibri"/>
                <w:sz w:val="22"/>
              </w:rPr>
              <w:t>Q2 2024</w:t>
            </w:r>
          </w:p>
        </w:tc>
        <w:tc>
          <w:tcPr>
            <w:tcW w:type="dxa" w:w="1440"/>
          </w:tcPr>
          <w:p>
            <w:r>
              <w:rPr>
                <w:rFonts w:ascii="Calibri" w:hAnsi="Calibri"/>
                <w:sz w:val="22"/>
              </w:rPr>
              <w:t>Wood Products Adj. EBITDA</w:t>
            </w:r>
          </w:p>
        </w:tc>
        <w:tc>
          <w:tcPr>
            <w:tcW w:type="dxa" w:w="1440"/>
          </w:tcPr>
          <w:p>
            <w:r>
              <w:rPr>
                <w:rFonts w:ascii="Calibri" w:hAnsi="Calibri"/>
                <w:sz w:val="22"/>
              </w:rPr>
              <w:t>$225M</w:t>
            </w:r>
          </w:p>
        </w:tc>
        <w:tc>
          <w:tcPr>
            <w:tcW w:type="dxa" w:w="1440"/>
          </w:tcPr>
          <w:p>
            <w:r>
              <w:rPr>
                <w:rFonts w:ascii="Calibri" w:hAnsi="Calibri"/>
                <w:sz w:val="22"/>
              </w:rPr>
              <w:t>$232M</w:t>
            </w:r>
          </w:p>
        </w:tc>
        <w:tc>
          <w:tcPr>
            <w:tcW w:type="dxa" w:w="1440"/>
          </w:tcPr>
          <w:p>
            <w:r>
              <w:rPr>
                <w:rFonts w:ascii="Calibri" w:hAnsi="Calibri"/>
                <w:b/>
                <w:color w:val="E5484D"/>
                <w:sz w:val="22"/>
              </w:rPr>
              <w:t>-3.0%</w:t>
            </w:r>
          </w:p>
        </w:tc>
        <w:tc>
          <w:tcPr>
            <w:tcW w:type="dxa" w:w="1440"/>
          </w:tcPr>
          <w:p>
            <w:r>
              <w:rPr>
                <w:rFonts w:ascii="Calibri" w:hAnsi="Calibri"/>
                <w:sz w:val="22"/>
              </w:rPr>
              <w:t>MISS</w:t>
            </w:r>
          </w:p>
        </w:tc>
      </w:tr>
      <w:tr>
        <w:tc>
          <w:tcPr>
            <w:tcW w:type="dxa" w:w="1440"/>
          </w:tcPr>
          <w:p>
            <w:r>
              <w:rPr>
                <w:rFonts w:ascii="Calibri" w:hAnsi="Calibri"/>
                <w:sz w:val="22"/>
              </w:rPr>
              <w:t>Q2 2024</w:t>
            </w:r>
          </w:p>
        </w:tc>
        <w:tc>
          <w:tcPr>
            <w:tcW w:type="dxa" w:w="1440"/>
          </w:tcPr>
          <w:p>
            <w:r>
              <w:rPr>
                <w:rFonts w:ascii="Calibri" w:hAnsi="Calibri"/>
                <w:sz w:val="22"/>
              </w:rPr>
              <w:t>Lumber Realization ($/MBF)</w:t>
            </w:r>
          </w:p>
        </w:tc>
        <w:tc>
          <w:tcPr>
            <w:tcW w:type="dxa" w:w="1440"/>
          </w:tcPr>
          <w:p>
            <w:r>
              <w:rPr>
                <w:rFonts w:ascii="Calibri" w:hAnsi="Calibri"/>
                <w:sz w:val="22"/>
              </w:rPr>
              <w:t>$419</w:t>
            </w:r>
          </w:p>
        </w:tc>
        <w:tc>
          <w:tcPr>
            <w:tcW w:type="dxa" w:w="1440"/>
          </w:tcPr>
          <w:p>
            <w:r>
              <w:rPr>
                <w:rFonts w:ascii="Calibri" w:hAnsi="Calibri"/>
                <w:sz w:val="22"/>
              </w:rPr>
              <w:t>$420</w:t>
            </w:r>
          </w:p>
        </w:tc>
        <w:tc>
          <w:tcPr>
            <w:tcW w:type="dxa" w:w="1440"/>
          </w:tcPr>
          <w:p>
            <w:r>
              <w:rPr>
                <w:rFonts w:ascii="Calibri" w:hAnsi="Calibri"/>
                <w:b/>
                <w:color w:val="E5484D"/>
                <w:sz w:val="22"/>
              </w:rPr>
              <w:t>-0.2%</w:t>
            </w:r>
          </w:p>
        </w:tc>
        <w:tc>
          <w:tcPr>
            <w:tcW w:type="dxa" w:w="1440"/>
          </w:tcPr>
          <w:p>
            <w:r>
              <w:rPr>
                <w:rFonts w:ascii="Calibri" w:hAnsi="Calibri"/>
                <w:sz w:val="22"/>
              </w:rPr>
              <w:t>MISS</w:t>
            </w:r>
          </w:p>
        </w:tc>
      </w:tr>
    </w:tbl>
    <w:p>
      <w:r>
        <w:rPr>
          <w:rFonts w:ascii="Calibri" w:hAnsi="Calibri"/>
          <w:b/>
          <w:color w:val="525866"/>
          <w:sz w:val="22"/>
        </w:rPr>
        <w:t xml:space="preserve">Pattern: </w:t>
      </w:r>
      <w:r>
        <w:rPr>
          <w:rFonts w:ascii="Calibri" w:hAnsi="Calibri"/>
          <w:color w:val="525866"/>
          <w:sz w:val="22"/>
        </w:rPr>
        <w:t>WY has beaten Wood Products EBITDA consensus in 5 of the last 8 quarters, with the most notable beats occurring when lumber pricing inflects above expectations (Q1 2026: +39%, Q3 2025: +214%). Misses have clustered in periods of pricing disappointment (Q2 2024, Q2 2025). Lumber realization beats/misses closely track Wood Products EBITDA outcomes, confirming pricing is the dominant driver.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The June 25 8-K update is the most important post-earnings development — it revised Wood Products guidance ~$20M lower ex-pricing (transportation constraints) but simultaneously confirmed lumber pricing running +$65/MBF above Q1 QTD, a net positive. Timberlands and Strategic Land Solutions outlooks are unchanged.</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Apr 30)</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Wood Products Adj. EBITDA (ex-pricing)</w:t>
            </w:r>
          </w:p>
        </w:tc>
        <w:tc>
          <w:tcPr>
            <w:tcW w:type="dxa" w:w="1728"/>
          </w:tcPr>
          <w:p>
            <w:r>
              <w:rPr>
                <w:rFonts w:ascii="Calibri" w:hAnsi="Calibri"/>
                <w:sz w:val="22"/>
              </w:rPr>
              <w:t>Comparable to Q1 2026 ($71M) ex-pricing changes</w:t>
            </w:r>
          </w:p>
        </w:tc>
        <w:tc>
          <w:tcPr>
            <w:tcW w:type="dxa" w:w="1728"/>
          </w:tcPr>
          <w:p>
            <w:r>
              <w:rPr>
                <w:rFonts w:ascii="Calibri" w:hAnsi="Calibri"/>
                <w:sz w:val="22"/>
              </w:rPr>
              <w:t>~$20M lower than Q1 ex-pricing (~$51M base ex-pricing)</w:t>
            </w:r>
          </w:p>
        </w:tc>
        <w:tc>
          <w:tcPr>
            <w:tcW w:type="dxa" w:w="1728"/>
          </w:tcPr>
          <w:p>
            <w:r>
              <w:rPr>
                <w:rFonts w:ascii="Calibri" w:hAnsi="Calibri"/>
                <w:sz w:val="22"/>
              </w:rPr>
              <w:t>$128M (includes pricing)</w:t>
            </w:r>
          </w:p>
        </w:tc>
        <w:tc>
          <w:tcPr>
            <w:tcW w:type="dxa" w:w="1728"/>
          </w:tcPr>
          <w:p>
            <w:r>
              <w:rPr>
                <w:rFonts w:ascii="Calibri" w:hAnsi="Calibri"/>
                <w:sz w:val="22"/>
              </w:rPr>
              <w:t>↓ Revised Jun 25 8-K; lower lumber volumes and higher unit costs from transportation constraints</w:t>
            </w:r>
          </w:p>
        </w:tc>
      </w:tr>
      <w:tr>
        <w:tc>
          <w:tcPr>
            <w:tcW w:type="dxa" w:w="1728"/>
          </w:tcPr>
          <w:p>
            <w:r>
              <w:rPr>
                <w:rFonts w:ascii="Calibri" w:hAnsi="Calibri"/>
                <w:sz w:val="22"/>
              </w:rPr>
              <w:t>Lumber Realization (QTD vs. Q1 avg)</w:t>
            </w:r>
          </w:p>
        </w:tc>
        <w:tc>
          <w:tcPr>
            <w:tcW w:type="dxa" w:w="1728"/>
          </w:tcPr>
          <w:p>
            <w:r>
              <w:rPr>
                <w:rFonts w:ascii="Calibri" w:hAnsi="Calibri"/>
                <w:sz w:val="22"/>
              </w:rPr>
              <w:t>"Significantly higher" than Q1 average QTD</w:t>
            </w:r>
          </w:p>
        </w:tc>
        <w:tc>
          <w:tcPr>
            <w:tcW w:type="dxa" w:w="1728"/>
          </w:tcPr>
          <w:p>
            <w:r>
              <w:rPr>
                <w:rFonts w:ascii="Calibri" w:hAnsi="Calibri"/>
                <w:sz w:val="22"/>
              </w:rPr>
              <w:t>+$65/MBF QTD vs. Q1 avg; current +$60/MBF vs. Q1 avg (as of Jun 19)</w:t>
            </w:r>
          </w:p>
        </w:tc>
        <w:tc>
          <w:tcPr>
            <w:tcW w:type="dxa" w:w="1728"/>
          </w:tcPr>
          <w:p>
            <w:r>
              <w:rPr>
                <w:rFonts w:ascii="Calibri" w:hAnsi="Calibri"/>
                <w:sz w:val="22"/>
              </w:rPr>
              <w:t>$501/MBF</w:t>
            </w:r>
          </w:p>
        </w:tc>
        <w:tc>
          <w:tcPr>
            <w:tcW w:type="dxa" w:w="1728"/>
          </w:tcPr>
          <w:p>
            <w:r>
              <w:rPr>
                <w:rFonts w:ascii="Calibri" w:hAnsi="Calibri"/>
                <w:sz w:val="22"/>
              </w:rPr>
              <w:t>↑ Updated Jun 25 8-K; ~$70M incremental Lumber Adj. EBITDA over Q1 from pricing; temporary sensitivity $10/MBF = ~$43M annualized (vs. normal $50M) due to trucking costs</w:t>
            </w:r>
          </w:p>
        </w:tc>
      </w:tr>
      <w:tr>
        <w:tc>
          <w:tcPr>
            <w:tcW w:type="dxa" w:w="1728"/>
          </w:tcPr>
          <w:p>
            <w:r>
              <w:rPr>
                <w:rFonts w:ascii="Calibri" w:hAnsi="Calibri"/>
                <w:sz w:val="22"/>
              </w:rPr>
              <w:t>OSB Realization (QTD vs. Q1 avg)</w:t>
            </w:r>
          </w:p>
        </w:tc>
        <w:tc>
          <w:tcPr>
            <w:tcW w:type="dxa" w:w="1728"/>
          </w:tcPr>
          <w:p>
            <w:r>
              <w:rPr>
                <w:rFonts w:ascii="Calibri" w:hAnsi="Calibri"/>
                <w:sz w:val="22"/>
              </w:rPr>
              <w:t>"Slightly higher" than Q1 average QTD</w:t>
            </w:r>
          </w:p>
        </w:tc>
        <w:tc>
          <w:tcPr>
            <w:tcW w:type="dxa" w:w="1728"/>
          </w:tcPr>
          <w:p>
            <w:r>
              <w:rPr>
                <w:rFonts w:ascii="Calibri" w:hAnsi="Calibri"/>
                <w:sz w:val="22"/>
              </w:rPr>
              <w:t>+$5/MSF QTD vs. Q1 avg; current comparable to Q1 avg (as of Jun 19)</w:t>
            </w:r>
          </w:p>
        </w:tc>
        <w:tc>
          <w:tcPr>
            <w:tcW w:type="dxa" w:w="1728"/>
          </w:tcPr>
          <w:p>
            <w:r>
              <w:rPr>
                <w:rFonts w:ascii="Calibri" w:hAnsi="Calibri"/>
                <w:sz w:val="22"/>
              </w:rPr>
              <w:t>$244/MSF</w:t>
            </w:r>
          </w:p>
        </w:tc>
        <w:tc>
          <w:tcPr>
            <w:tcW w:type="dxa" w:w="1728"/>
          </w:tcPr>
          <w:p>
            <w:r>
              <w:rPr>
                <w:rFonts w:ascii="Calibri" w:hAnsi="Calibri"/>
                <w:sz w:val="22"/>
              </w:rPr>
              <w:t>Confirmed Jun 25 8-K; OSB transportation leans rail (less trucking impact); no sensitivity adjustment</w:t>
            </w:r>
          </w:p>
        </w:tc>
      </w:tr>
      <w:tr>
        <w:tc>
          <w:tcPr>
            <w:tcW w:type="dxa" w:w="1728"/>
          </w:tcPr>
          <w:p>
            <w:r>
              <w:rPr>
                <w:rFonts w:ascii="Calibri" w:hAnsi="Calibri"/>
                <w:sz w:val="22"/>
              </w:rPr>
              <w:t>Timberlands Adj. EBITDA</w:t>
            </w:r>
          </w:p>
        </w:tc>
        <w:tc>
          <w:tcPr>
            <w:tcW w:type="dxa" w:w="1728"/>
          </w:tcPr>
          <w:p>
            <w:r>
              <w:rPr>
                <w:rFonts w:ascii="Calibri" w:hAnsi="Calibri"/>
                <w:sz w:val="22"/>
              </w:rPr>
              <w:t>Comparable to Q1 2026 (~$120M)</w:t>
            </w:r>
          </w:p>
        </w:tc>
        <w:tc>
          <w:tcPr>
            <w:tcW w:type="dxa" w:w="1728"/>
          </w:tcPr>
          <w:p>
            <w:r>
              <w:rPr>
                <w:rFonts w:ascii="Calibri" w:hAnsi="Calibri"/>
                <w:sz w:val="22"/>
              </w:rPr>
              <w:t>Unchanged</w:t>
            </w:r>
          </w:p>
        </w:tc>
        <w:tc>
          <w:tcPr>
            <w:tcW w:type="dxa" w:w="1728"/>
          </w:tcPr>
          <w:p>
            <w:r>
              <w:rPr>
                <w:rFonts w:ascii="Calibri" w:hAnsi="Calibri"/>
                <w:sz w:val="22"/>
              </w:rPr>
              <w:t>$121M</w:t>
            </w:r>
          </w:p>
        </w:tc>
        <w:tc>
          <w:tcPr>
            <w:tcW w:type="dxa" w:w="1728"/>
          </w:tcPr>
          <w:p>
            <w:r>
              <w:rPr>
                <w:rFonts w:ascii="Calibri" w:hAnsi="Calibri"/>
                <w:sz w:val="22"/>
              </w:rPr>
              <w:t>Unchanged Jun 25 8-K; improving Southern sawlog demand from new mill capacity; Western domestic log pricing slightly higher than Q1</w:t>
            </w:r>
          </w:p>
        </w:tc>
      </w:tr>
      <w:tr>
        <w:tc>
          <w:tcPr>
            <w:tcW w:type="dxa" w:w="1728"/>
          </w:tcPr>
          <w:p>
            <w:r>
              <w:rPr>
                <w:rFonts w:ascii="Calibri" w:hAnsi="Calibri"/>
                <w:sz w:val="22"/>
              </w:rPr>
              <w:t>Strategic Land Solutions Adj. EBITDA</w:t>
            </w:r>
          </w:p>
        </w:tc>
        <w:tc>
          <w:tcPr>
            <w:tcW w:type="dxa" w:w="1728"/>
          </w:tcPr>
          <w:p>
            <w:r>
              <w:rPr>
                <w:rFonts w:ascii="Calibri" w:hAnsi="Calibri"/>
                <w:sz w:val="22"/>
              </w:rPr>
              <w:t>~$70M lower than Q1 (~$123M implied)</w:t>
            </w:r>
          </w:p>
        </w:tc>
        <w:tc>
          <w:tcPr>
            <w:tcW w:type="dxa" w:w="1728"/>
          </w:tcPr>
          <w:p>
            <w:r>
              <w:rPr>
                <w:rFonts w:ascii="Calibri" w:hAnsi="Calibri"/>
                <w:sz w:val="22"/>
              </w:rPr>
              <w:t>Unchanged</w:t>
            </w:r>
          </w:p>
        </w:tc>
        <w:tc>
          <w:tcPr>
            <w:tcW w:type="dxa" w:w="1728"/>
          </w:tcPr>
          <w:p>
            <w:r>
              <w:rPr>
                <w:rFonts w:ascii="Calibri" w:hAnsi="Calibri"/>
                <w:sz w:val="22"/>
              </w:rPr>
              <w:t>$123M</w:t>
            </w:r>
          </w:p>
        </w:tc>
        <w:tc>
          <w:tcPr>
            <w:tcW w:type="dxa" w:w="1728"/>
          </w:tcPr>
          <w:p>
            <w:r>
              <w:rPr>
                <w:rFonts w:ascii="Calibri" w:hAnsi="Calibri"/>
                <w:sz w:val="22"/>
              </w:rPr>
              <w:t>Unchanged Jun 25 8-K; Q1 benefited from $94M Florida conservation easement; real estate markets solid YTD; steady Climate Solutions growth expected</w:t>
            </w:r>
          </w:p>
        </w:tc>
      </w:tr>
      <w:tr>
        <w:tc>
          <w:tcPr>
            <w:tcW w:type="dxa" w:w="1728"/>
          </w:tcPr>
          <w:p>
            <w:r>
              <w:rPr>
                <w:rFonts w:ascii="Calibri" w:hAnsi="Calibri"/>
                <w:sz w:val="22"/>
              </w:rPr>
              <w:t>FY 2026 Strategic Land Solutions Adj. EBITDA</w:t>
            </w:r>
          </w:p>
        </w:tc>
        <w:tc>
          <w:tcPr>
            <w:tcW w:type="dxa" w:w="1728"/>
          </w:tcPr>
          <w:p>
            <w:r>
              <w:rPr>
                <w:rFonts w:ascii="Calibri" w:hAnsi="Calibri"/>
                <w:sz w:val="22"/>
              </w:rPr>
              <w:t>~$425M (full-year guidance maintained)</w:t>
            </w:r>
          </w:p>
        </w:tc>
        <w:tc>
          <w:tcPr>
            <w:tcW w:type="dxa" w:w="1728"/>
          </w:tcPr>
          <w:p>
            <w:r>
              <w:rPr>
                <w:rFonts w:ascii="Calibri" w:hAnsi="Calibri"/>
                <w:sz w:val="22"/>
              </w:rPr>
              <w:t>Unchanged</w:t>
            </w:r>
          </w:p>
        </w:tc>
        <w:tc>
          <w:tcPr>
            <w:tcW w:type="dxa" w:w="1728"/>
          </w:tcPr>
          <w:p>
            <w:r>
              <w:rPr>
                <w:rFonts w:ascii="Calibri" w:hAnsi="Calibri"/>
                <w:sz w:val="22"/>
              </w:rPr>
              <w:t>$426M</w:t>
            </w:r>
          </w:p>
        </w:tc>
        <w:tc>
          <w:tcPr>
            <w:tcW w:type="dxa" w:w="1728"/>
          </w:tcPr>
          <w:p>
            <w:r>
              <w:rPr>
                <w:rFonts w:ascii="Calibri" w:hAnsi="Calibri"/>
                <w:sz w:val="22"/>
              </w:rPr>
              <w:t>Basis as % of total SLS sales now expected 20-30% (updated from prior 25-35%)</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Estimates for Q2 2026 have moved sharply higher since the post-Q4 2025 trough baseline, tracking the lumber pricing recovery — Wood Products EBITDA consensus rose from ~$51M (post-Q4 baseline) to ~$128M (latest), though the June 25 8-K pricing update suggests further upside. FY 2026 estimates are broadly stable, with the lumber pricing tailwind largely offsetting the cost headwinds.</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Q4 2025 Earnings ~Feb 4, 2026)</w:t>
            </w:r>
          </w:p>
        </w:tc>
        <w:tc>
          <w:tcPr>
            <w:tcW w:type="dxa" w:w="1080"/>
            <w:shd w:val="clear" w:color="auto" w:fill="3B4259"/>
          </w:tcPr>
          <w:p>
            <w:r>
              <w:rPr>
                <w:rFonts w:ascii="Calibri" w:hAnsi="Calibri"/>
                <w:b/>
                <w:color w:val="FFFFFF"/>
                <w:sz w:val="22"/>
              </w:rPr>
              <w:t>Current Consensus</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2026 Call, Apr 30)</w:t>
            </w:r>
          </w:p>
        </w:tc>
        <w:tc>
          <w:tcPr>
            <w:tcW w:type="dxa" w:w="1080"/>
            <w:shd w:val="clear" w:color="auto" w:fill="3B4259"/>
          </w:tcPr>
          <w:p>
            <w:r>
              <w:rPr>
                <w:rFonts w:ascii="Calibri" w:hAnsi="Calibri"/>
                <w:b/>
                <w:color w:val="FFFFFF"/>
                <w:sz w:val="22"/>
              </w:rPr>
              <w:t>Current Guidance (Jun 25 Update)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 vs. Guidance (%)</w:t>
            </w:r>
          </w:p>
        </w:tc>
      </w:tr>
      <w:tr>
        <w:tc>
          <w:tcPr>
            <w:tcW w:type="dxa" w:w="1080"/>
          </w:tcPr>
          <w:p>
            <w:r>
              <w:rPr>
                <w:rFonts w:ascii="Calibri" w:hAnsi="Calibri"/>
                <w:sz w:val="22"/>
              </w:rPr>
              <w:t>Wood Products Adj. EBITDA (Q2 2026)</w:t>
            </w:r>
          </w:p>
        </w:tc>
        <w:tc>
          <w:tcPr>
            <w:tcW w:type="dxa" w:w="1080"/>
          </w:tcPr>
          <w:p>
            <w:r>
              <w:rPr>
                <w:rFonts w:ascii="Calibri" w:hAnsi="Calibri"/>
                <w:sz w:val="22"/>
              </w:rPr>
              <w:t>~$51M</w:t>
            </w:r>
          </w:p>
        </w:tc>
        <w:tc>
          <w:tcPr>
            <w:tcW w:type="dxa" w:w="1080"/>
          </w:tcPr>
          <w:p>
            <w:r>
              <w:rPr>
                <w:rFonts w:ascii="Calibri" w:hAnsi="Calibri"/>
                <w:sz w:val="22"/>
              </w:rPr>
              <w:t>$128M</w:t>
            </w:r>
          </w:p>
        </w:tc>
        <w:tc>
          <w:tcPr>
            <w:tcW w:type="dxa" w:w="1080"/>
          </w:tcPr>
          <w:p>
            <w:r>
              <w:rPr>
                <w:rFonts w:ascii="Calibri" w:hAnsi="Calibri"/>
                <w:b/>
                <w:color w:val="30A46C"/>
                <w:sz w:val="22"/>
              </w:rPr>
              <w:t>+151%</w:t>
            </w:r>
          </w:p>
        </w:tc>
        <w:tc>
          <w:tcPr>
            <w:tcW w:type="dxa" w:w="1080"/>
          </w:tcPr>
          <w:p>
            <w:r>
              <w:rPr>
                <w:rFonts w:ascii="Calibri" w:hAnsi="Calibri"/>
                <w:sz w:val="22"/>
              </w:rPr>
              <w:t>Comparable to Q1 ex-pricing</w:t>
            </w:r>
          </w:p>
        </w:tc>
        <w:tc>
          <w:tcPr>
            <w:tcW w:type="dxa" w:w="1080"/>
          </w:tcPr>
          <w:p>
            <w:r>
              <w:rPr>
                <w:rFonts w:ascii="Calibri" w:hAnsi="Calibri"/>
                <w:sz w:val="22"/>
              </w:rPr>
              <w:t>~$20M lower than Q1 ex-pricing; +$70M from lumber pricing = ~$121M implied</w:t>
            </w:r>
          </w:p>
        </w:tc>
        <w:tc>
          <w:tcPr>
            <w:tcW w:type="dxa" w:w="1080"/>
          </w:tcPr>
          <w:p>
            <w:r>
              <w:rPr>
                <w:rFonts w:ascii="Calibri" w:hAnsi="Calibri"/>
                <w:sz w:val="22"/>
              </w:rPr>
              <w:t>Slight downward ex-pricing; large upward from pricing</w:t>
            </w:r>
          </w:p>
        </w:tc>
        <w:tc>
          <w:tcPr>
            <w:tcW w:type="dxa" w:w="1080"/>
          </w:tcPr>
          <w:p>
            <w:r>
              <w:rPr>
                <w:rFonts w:ascii="Calibri" w:hAnsi="Calibri"/>
                <w:sz w:val="22"/>
              </w:rPr>
              <w:t>Cons. ~$128M vs. implied ~$121M; cons. may be slightly above</w:t>
            </w:r>
          </w:p>
        </w:tc>
      </w:tr>
      <w:tr>
        <w:tc>
          <w:tcPr>
            <w:tcW w:type="dxa" w:w="1080"/>
          </w:tcPr>
          <w:p>
            <w:r>
              <w:rPr>
                <w:rFonts w:ascii="Calibri" w:hAnsi="Calibri"/>
                <w:sz w:val="22"/>
              </w:rPr>
              <w:t>Lumber Realization (Q2 2026)</w:t>
            </w:r>
          </w:p>
        </w:tc>
        <w:tc>
          <w:tcPr>
            <w:tcW w:type="dxa" w:w="1080"/>
          </w:tcPr>
          <w:p>
            <w:r>
              <w:rPr>
                <w:rFonts w:ascii="Calibri" w:hAnsi="Calibri"/>
                <w:sz w:val="22"/>
              </w:rPr>
              <w:t>~$490/MBF</w:t>
            </w:r>
          </w:p>
        </w:tc>
        <w:tc>
          <w:tcPr>
            <w:tcW w:type="dxa" w:w="1080"/>
          </w:tcPr>
          <w:p>
            <w:r>
              <w:rPr>
                <w:rFonts w:ascii="Calibri" w:hAnsi="Calibri"/>
                <w:sz w:val="22"/>
              </w:rPr>
              <w:t>$501/MBF</w:t>
            </w:r>
          </w:p>
        </w:tc>
        <w:tc>
          <w:tcPr>
            <w:tcW w:type="dxa" w:w="1080"/>
          </w:tcPr>
          <w:p>
            <w:r>
              <w:rPr>
                <w:rFonts w:ascii="Calibri" w:hAnsi="Calibri"/>
                <w:b/>
                <w:color w:val="30A46C"/>
                <w:sz w:val="22"/>
              </w:rPr>
              <w:t>+2.2%</w:t>
            </w:r>
          </w:p>
        </w:tc>
        <w:tc>
          <w:tcPr>
            <w:tcW w:type="dxa" w:w="1080"/>
          </w:tcPr>
          <w:p>
            <w:r>
              <w:rPr>
                <w:rFonts w:ascii="Calibri" w:hAnsi="Calibri"/>
                <w:sz w:val="22"/>
              </w:rPr>
              <w:t>Significantly higher than Q1 ($443)</w:t>
            </w:r>
          </w:p>
        </w:tc>
        <w:tc>
          <w:tcPr>
            <w:tcW w:type="dxa" w:w="1080"/>
          </w:tcPr>
          <w:p>
            <w:r>
              <w:rPr>
                <w:rFonts w:ascii="Calibri" w:hAnsi="Calibri"/>
                <w:sz w:val="22"/>
              </w:rPr>
              <w:t>+$65/MBF QTD vs. Q1 avg (~$508 implied); current +$60/MBF (~$503 implied)</w:t>
            </w:r>
          </w:p>
        </w:tc>
        <w:tc>
          <w:tcPr>
            <w:tcW w:type="dxa" w:w="1080"/>
          </w:tcPr>
          <w:p>
            <w:r>
              <w:rPr>
                <w:rFonts w:ascii="Calibri" w:hAnsi="Calibri"/>
                <w:sz w:val="22"/>
              </w:rPr>
              <w:t>Upward</w:t>
            </w:r>
          </w:p>
        </w:tc>
        <w:tc>
          <w:tcPr>
            <w:tcW w:type="dxa" w:w="1080"/>
          </w:tcPr>
          <w:p>
            <w:r>
              <w:rPr>
                <w:rFonts w:ascii="Calibri" w:hAnsi="Calibri"/>
                <w:sz w:val="22"/>
              </w:rPr>
              <w:t>Cons. ~$501 vs. implied ~$503-508; slight upside risk</w:t>
            </w:r>
          </w:p>
        </w:tc>
      </w:tr>
      <w:tr>
        <w:tc>
          <w:tcPr>
            <w:tcW w:type="dxa" w:w="1080"/>
          </w:tcPr>
          <w:p>
            <w:r>
              <w:rPr>
                <w:rFonts w:ascii="Calibri" w:hAnsi="Calibri"/>
                <w:sz w:val="22"/>
              </w:rPr>
              <w:t>OSB Realization (Q2 2026)</w:t>
            </w:r>
          </w:p>
        </w:tc>
        <w:tc>
          <w:tcPr>
            <w:tcW w:type="dxa" w:w="1080"/>
          </w:tcPr>
          <w:p>
            <w:r>
              <w:rPr>
                <w:rFonts w:ascii="Calibri" w:hAnsi="Calibri"/>
                <w:sz w:val="22"/>
              </w:rPr>
              <w:t>~$247/MSF</w:t>
            </w:r>
          </w:p>
        </w:tc>
        <w:tc>
          <w:tcPr>
            <w:tcW w:type="dxa" w:w="1080"/>
          </w:tcPr>
          <w:p>
            <w:r>
              <w:rPr>
                <w:rFonts w:ascii="Calibri" w:hAnsi="Calibri"/>
                <w:sz w:val="22"/>
              </w:rPr>
              <w:t>$244/MSF</w:t>
            </w:r>
          </w:p>
        </w:tc>
        <w:tc>
          <w:tcPr>
            <w:tcW w:type="dxa" w:w="1080"/>
          </w:tcPr>
          <w:p>
            <w:r>
              <w:rPr>
                <w:rFonts w:ascii="Calibri" w:hAnsi="Calibri"/>
                <w:b/>
                <w:color w:val="E5484D"/>
                <w:sz w:val="22"/>
              </w:rPr>
              <w:t>-1.2%</w:t>
            </w:r>
          </w:p>
        </w:tc>
        <w:tc>
          <w:tcPr>
            <w:tcW w:type="dxa" w:w="1080"/>
          </w:tcPr>
          <w:p>
            <w:r>
              <w:rPr>
                <w:rFonts w:ascii="Calibri" w:hAnsi="Calibri"/>
                <w:sz w:val="22"/>
              </w:rPr>
              <w:t>Slightly higher than Q1 ($236)</w:t>
            </w:r>
          </w:p>
        </w:tc>
        <w:tc>
          <w:tcPr>
            <w:tcW w:type="dxa" w:w="1080"/>
          </w:tcPr>
          <w:p>
            <w:r>
              <w:rPr>
                <w:rFonts w:ascii="Calibri" w:hAnsi="Calibri"/>
                <w:sz w:val="22"/>
              </w:rPr>
              <w:t>+$5/MSF QTD vs. Q1 avg (~$241 implied); current comparable to Q1</w:t>
            </w:r>
          </w:p>
        </w:tc>
        <w:tc>
          <w:tcPr>
            <w:tcW w:type="dxa" w:w="1080"/>
          </w:tcPr>
          <w:p>
            <w:r>
              <w:rPr>
                <w:rFonts w:ascii="Calibri" w:hAnsi="Calibri"/>
                <w:sz w:val="22"/>
              </w:rPr>
              <w:t>Slight downward</w:t>
            </w:r>
          </w:p>
        </w:tc>
        <w:tc>
          <w:tcPr>
            <w:tcW w:type="dxa" w:w="1080"/>
          </w:tcPr>
          <w:p>
            <w:r>
              <w:rPr>
                <w:rFonts w:ascii="Calibri" w:hAnsi="Calibri"/>
                <w:sz w:val="22"/>
              </w:rPr>
              <w:t>Cons. ~$244 vs. implied ~$241; roughly in-line</w:t>
            </w:r>
          </w:p>
        </w:tc>
      </w:tr>
      <w:tr>
        <w:tc>
          <w:tcPr>
            <w:tcW w:type="dxa" w:w="1080"/>
          </w:tcPr>
          <w:p>
            <w:r>
              <w:rPr>
                <w:rFonts w:ascii="Calibri" w:hAnsi="Calibri"/>
                <w:sz w:val="22"/>
              </w:rPr>
              <w:t>Timberlands Adj. EBITDA (Q2 2026)</w:t>
            </w:r>
          </w:p>
        </w:tc>
        <w:tc>
          <w:tcPr>
            <w:tcW w:type="dxa" w:w="1080"/>
          </w:tcPr>
          <w:p>
            <w:r>
              <w:rPr>
                <w:rFonts w:ascii="Calibri" w:hAnsi="Calibri"/>
                <w:sz w:val="22"/>
              </w:rPr>
              <w:t>~$114M</w:t>
            </w:r>
          </w:p>
        </w:tc>
        <w:tc>
          <w:tcPr>
            <w:tcW w:type="dxa" w:w="1080"/>
          </w:tcPr>
          <w:p>
            <w:r>
              <w:rPr>
                <w:rFonts w:ascii="Calibri" w:hAnsi="Calibri"/>
                <w:sz w:val="22"/>
              </w:rPr>
              <w:t>$121M</w:t>
            </w:r>
          </w:p>
        </w:tc>
        <w:tc>
          <w:tcPr>
            <w:tcW w:type="dxa" w:w="1080"/>
          </w:tcPr>
          <w:p>
            <w:r>
              <w:rPr>
                <w:rFonts w:ascii="Calibri" w:hAnsi="Calibri"/>
                <w:b/>
                <w:color w:val="30A46C"/>
                <w:sz w:val="22"/>
              </w:rPr>
              <w:t>+6.1%</w:t>
            </w:r>
          </w:p>
        </w:tc>
        <w:tc>
          <w:tcPr>
            <w:tcW w:type="dxa" w:w="1080"/>
          </w:tcPr>
          <w:p>
            <w:r>
              <w:rPr>
                <w:rFonts w:ascii="Calibri" w:hAnsi="Calibri"/>
                <w:sz w:val="22"/>
              </w:rPr>
              <w:t>Comparable to Q1 (~$120M)</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~+0.8% above guidance midpoint</w:t>
            </w:r>
          </w:p>
        </w:tc>
      </w:tr>
      <w:tr>
        <w:tc>
          <w:tcPr>
            <w:tcW w:type="dxa" w:w="1080"/>
          </w:tcPr>
          <w:p>
            <w:r>
              <w:rPr>
                <w:rFonts w:ascii="Calibri" w:hAnsi="Calibri"/>
                <w:sz w:val="22"/>
              </w:rPr>
              <w:t>Strategic Land Solutions Adj. EBITDA (Q2 2026)</w:t>
            </w:r>
          </w:p>
        </w:tc>
        <w:tc>
          <w:tcPr>
            <w:tcW w:type="dxa" w:w="1080"/>
          </w:tcPr>
          <w:p>
            <w:r>
              <w:rPr>
                <w:rFonts w:ascii="Calibri" w:hAnsi="Calibri"/>
                <w:sz w:val="22"/>
              </w:rPr>
              <w:t>~$74M</w:t>
            </w:r>
          </w:p>
        </w:tc>
        <w:tc>
          <w:tcPr>
            <w:tcW w:type="dxa" w:w="1080"/>
          </w:tcPr>
          <w:p>
            <w:r>
              <w:rPr>
                <w:rFonts w:ascii="Calibri" w:hAnsi="Calibri"/>
                <w:sz w:val="22"/>
              </w:rPr>
              <w:t>$123M</w:t>
            </w:r>
          </w:p>
        </w:tc>
        <w:tc>
          <w:tcPr>
            <w:tcW w:type="dxa" w:w="1080"/>
          </w:tcPr>
          <w:p>
            <w:r>
              <w:rPr>
                <w:rFonts w:ascii="Calibri" w:hAnsi="Calibri"/>
                <w:b/>
                <w:color w:val="30A46C"/>
                <w:sz w:val="22"/>
              </w:rPr>
              <w:t>+66.2%</w:t>
            </w:r>
          </w:p>
        </w:tc>
        <w:tc>
          <w:tcPr>
            <w:tcW w:type="dxa" w:w="1080"/>
          </w:tcPr>
          <w:p>
            <w:r>
              <w:rPr>
                <w:rFonts w:ascii="Calibri" w:hAnsi="Calibri"/>
                <w:sz w:val="22"/>
              </w:rPr>
              <w:t>~$70M lower than Q1 (~$123M implied)</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~In-line with guidance</w:t>
            </w:r>
          </w:p>
        </w:tc>
      </w:tr>
      <w:tr>
        <w:tc>
          <w:tcPr>
            <w:tcW w:type="dxa" w:w="1080"/>
          </w:tcPr>
          <w:p>
            <w:r>
              <w:rPr>
                <w:rFonts w:ascii="Calibri" w:hAnsi="Calibri"/>
                <w:sz w:val="22"/>
              </w:rPr>
              <w:t>Adjusted EBITDA (FY 2026)</w:t>
            </w:r>
          </w:p>
        </w:tc>
        <w:tc>
          <w:tcPr>
            <w:tcW w:type="dxa" w:w="1080"/>
          </w:tcPr>
          <w:p>
            <w:r>
              <w:rPr>
                <w:rFonts w:ascii="Calibri" w:hAnsi="Calibri"/>
                <w:sz w:val="22"/>
              </w:rPr>
              <w:t>~$1,127M</w:t>
            </w:r>
          </w:p>
        </w:tc>
        <w:tc>
          <w:tcPr>
            <w:tcW w:type="dxa" w:w="1080"/>
          </w:tcPr>
          <w:p>
            <w:r>
              <w:rPr>
                <w:rFonts w:ascii="Calibri" w:hAnsi="Calibri"/>
                <w:sz w:val="22"/>
              </w:rPr>
              <w:t>$1,112M</w:t>
            </w:r>
          </w:p>
        </w:tc>
        <w:tc>
          <w:tcPr>
            <w:tcW w:type="dxa" w:w="1080"/>
          </w:tcPr>
          <w:p>
            <w:r>
              <w:rPr>
                <w:rFonts w:ascii="Calibri" w:hAnsi="Calibri"/>
                <w:b/>
                <w:color w:val="E5484D"/>
                <w:sz w:val="22"/>
              </w:rPr>
              <w:t>-1.3%</w:t>
            </w:r>
          </w:p>
        </w:tc>
        <w:tc>
          <w:tcPr>
            <w:tcW w:type="dxa" w:w="1080"/>
          </w:tcPr>
          <w:p>
            <w:r>
              <w:rPr>
                <w:rFonts w:ascii="Calibri" w:hAnsi="Calibri"/>
                <w:sz w:val="22"/>
              </w:rPr>
              <w:t>No explicit FY consolidated guidance</w:t>
            </w:r>
          </w:p>
        </w:tc>
        <w:tc>
          <w:tcPr>
            <w:tcW w:type="dxa" w:w="1080"/>
          </w:tcPr>
          <w:p>
            <w:r>
              <w:rPr>
                <w:rFonts w:ascii="Calibri" w:hAnsi="Calibri"/>
                <w:sz w:val="22"/>
              </w:rPr>
              <w:t>No change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Operating EPS (FY 2026)</w:t>
            </w:r>
          </w:p>
        </w:tc>
        <w:tc>
          <w:tcPr>
            <w:tcW w:type="dxa" w:w="1080"/>
          </w:tcPr>
          <w:p>
            <w:r>
              <w:rPr>
                <w:rFonts w:ascii="Calibri" w:hAnsi="Calibri"/>
                <w:sz w:val="22"/>
              </w:rPr>
              <w:t>~$0.33</w:t>
            </w:r>
          </w:p>
        </w:tc>
        <w:tc>
          <w:tcPr>
            <w:tcW w:type="dxa" w:w="1080"/>
          </w:tcPr>
          <w:p>
            <w:r>
              <w:rPr>
                <w:rFonts w:ascii="Calibri" w:hAnsi="Calibri"/>
                <w:sz w:val="22"/>
              </w:rPr>
              <w:t>$0.31</w:t>
            </w:r>
          </w:p>
        </w:tc>
        <w:tc>
          <w:tcPr>
            <w:tcW w:type="dxa" w:w="1080"/>
          </w:tcPr>
          <w:p>
            <w:r>
              <w:rPr>
                <w:rFonts w:ascii="Calibri" w:hAnsi="Calibri"/>
                <w:b/>
                <w:color w:val="E5484D"/>
                <w:sz w:val="22"/>
              </w:rPr>
              <w:t>-6.1%</w:t>
            </w:r>
          </w:p>
        </w:tc>
        <w:tc>
          <w:tcPr>
            <w:tcW w:type="dxa" w:w="1080"/>
          </w:tcPr>
          <w:p>
            <w:r>
              <w:rPr>
                <w:rFonts w:ascii="Calibri" w:hAnsi="Calibri"/>
                <w:sz w:val="22"/>
              </w:rPr>
              <w:t>No explicit EPS guidance</w:t>
            </w:r>
          </w:p>
        </w:tc>
        <w:tc>
          <w:tcPr>
            <w:tcW w:type="dxa" w:w="1080"/>
          </w:tcPr>
          <w:p>
            <w:r>
              <w:rPr>
                <w:rFonts w:ascii="Calibri" w:hAnsi="Calibri"/>
                <w:sz w:val="22"/>
              </w:rPr>
              <w:t>No change</w:t>
            </w:r>
          </w:p>
        </w:tc>
        <w:tc>
          <w:tcPr>
            <w:tcW w:type="dxa" w:w="1080"/>
          </w:tcPr>
          <w:p>
            <w:r>
              <w:rPr>
                <w:rFonts w:ascii="Calibri" w:hAnsi="Calibri"/>
                <w:sz w:val="22"/>
              </w:rPr>
              <w:t>N/A</w:t>
            </w:r>
          </w:p>
        </w:tc>
        <w:tc>
          <w:tcPr>
            <w:tcW w:type="dxa" w:w="1080"/>
          </w:tcPr>
          <w:p>
            <w:r>
              <w:rPr>
                <w:rFonts w:ascii="Calibri" w:hAnsi="Calibri"/>
                <w:sz w:val="22"/>
              </w:rPr>
              <w:t>N/A</w:t>
            </w:r>
          </w:p>
        </w:tc>
      </w:tr>
    </w:tbl>
    <w:p>
      <w:r>
        <w:rPr>
          <w:rFonts w:ascii="Calibri" w:hAnsi="Calibri"/>
          <w:i/>
          <w:color w:val="525866"/>
          <w:sz w:val="22"/>
        </w:rPr>
        <w:t>Source: Visible Alpha consensus and actuals data. Post-Q4 2025 baseline estimated as of ~5 trading days after Q4 2025 earnings (January 30, 2026 print, baseline ~February 4, 2026). Current consensus as of latest available. Guidance per Q1 2026 earnings call (April 30, 2026) and June 25, 2026 8-K update.</w:t>
      </w:r>
    </w:p>
    <w:p>
      <w:r>
        <w:rPr>
          <w:rFonts w:ascii="Calibri" w:hAnsi="Calibri"/>
          <w:color w:val="525866"/>
          <w:sz w:val="22"/>
        </w:rPr>
        <w:t>The most significant revision story is in Wood Products EBITDA, where estimates have more than doubled from the post-Q4 trough baseline as lumber pricing recovered sharply. The June 25 8-K update — which quantified a ~$70M incremental Lumber EBITDA contribution from pricing — likely has not been fully incorporated into current consensus, suggesting further upward revision risk heading into the print.</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WY has been a meaningful underperformer since Q1 2026 earnings — down ~0.3% vs. WOOD ETF +3.8% and SPY +1.5% through July 28 — driven by multiple compression on housing uncertainty rather than estimate revisions, which have actually moved higher. The disconnect between improving fundamentals and lagging stock performance creates a constructive setup into the print.</w:t>
      </w:r>
    </w:p>
    <w:p>
      <w:r>
        <w:drawing>
          <wp:inline xmlns:a="http://schemas.openxmlformats.org/drawingml/2006/main" xmlns:pic="http://schemas.openxmlformats.org/drawingml/2006/picture">
            <wp:extent cx="5943600" cy="4245429"/>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943600" cy="4245429"/>
                    </a:xfrm>
                    <a:prstGeom prst="rect"/>
                  </pic:spPr>
                </pic:pic>
              </a:graphicData>
            </a:graphic>
          </wp:inline>
        </w:drawing>
      </w:r>
    </w:p>
    <w:p>
      <w:pPr>
        <w:jc w:val="center"/>
      </w:pPr>
      <w:r>
        <w:rPr>
          <w:i/>
          <w:color w:val="666666"/>
          <w:sz w:val="18"/>
        </w:rPr>
        <w:t>WY vs. iShares Global Timber &amp; Forestry ETF (WOOD) vs. S&amp;P 500 (SPY) — Indexed to 100 at Q1 2026 Earnings (April 30, 2026). Source: Stock Price Data.</w:t>
      </w:r>
    </w:p>
    <w:p>
      <w:r>
        <w:rPr>
          <w:rFonts w:ascii="Calibri" w:hAnsi="Calibri"/>
          <w:color w:val="525866"/>
          <w:sz w:val="22"/>
        </w:rPr>
        <w:t>Since Q1 2026 earnings on April 30, WY closed at $24.52 (base = 100). Through July 28, WY closed at $24.61 (+0.4% absolute), while SPY gained +3.1% and WOOD gained +4.4% over the same period. WY briefly rallied to $25.76 on June 25 (the day of the Q2 outlook 8-K update, +5.1% from base), but gave back most of those gains by early July as housing sentiment remained cautious. The stock’s underperformance vs. WOOD is notable given that lumber pricing has been the primary driver of the ETF’s outperformance — suggesting WY’s housing-exposed narrative is weighing on the multiple even as Wood Products fundamentals improve. No analyst rating changes were identified in the post-earnings period.</w:t>
      </w:r>
    </w:p>
    <w:p>
      <w:r>
        <w:br w:type="page"/>
      </w:r>
    </w:p>
    <w:p>
      <w:pPr>
        <w:pStyle w:val="Heading2"/>
      </w:pPr>
      <w:r>
        <w:rPr>
          <w:rFonts w:ascii="Calibri" w:hAnsi="Calibri"/>
          <w:b/>
          <w:color w:val="3B4259"/>
          <w:sz w:val="28"/>
        </w:rPr>
        <w:t>6. Peer Commentaries — Q2 2026 Read-Throughs</w:t>
      </w:r>
    </w:p>
    <w:p>
      <w:r>
        <w:rPr>
          <w:rFonts w:ascii="Calibri" w:hAnsi="Calibri"/>
          <w:b/>
          <w:color w:val="525866"/>
          <w:sz w:val="22"/>
        </w:rPr>
        <w:t xml:space="preserve">Key Takeaway: </w:t>
      </w:r>
      <w:r>
        <w:rPr>
          <w:rFonts w:ascii="Calibri" w:hAnsi="Calibri"/>
          <w:color w:val="525866"/>
          <w:sz w:val="22"/>
        </w:rPr>
        <w:t>Peer commentary from Q2 2026 reporting season paints a consistent picture: housing demand remains choppy and affordability-constrained, but lumber pricing has recovered meaningfully (RYN confirmed $505/MBF QTD in Q2), construction costs are declining (positive for R&amp;R demand), and the structural housing deficit remains intact. The read-through for WY is net positive on pricing but cautious on volume.</w:t>
      </w:r>
    </w:p>
    <w:p>
      <w:r>
        <w:rPr>
          <w:rFonts w:ascii="Calibri" w:hAnsi="Calibri"/>
          <w:i/>
          <w:color w:val="525866"/>
          <w:sz w:val="22"/>
        </w:rPr>
        <w:t>The following commentaries are sourced from peers reporting on or about Q2 2026 (calendar), or from Q1 2026 earnings calls that provided explicit Q2 2026 forward guidance. All commentary is from the current reporting quarter or post-last-earnings period, per the user’s instruction.</w:t>
      </w:r>
    </w:p>
    <w:p>
      <w:pPr>
        <w:pStyle w:val="Heading3"/>
      </w:pPr>
      <w:r>
        <w:rPr>
          <w:rFonts w:ascii="Calibri" w:hAnsi="Calibri"/>
          <w:b/>
          <w:color w:val="3B4259"/>
          <w:sz w:val="24"/>
        </w:rPr>
        <w:t>Rayonier (RYN) — Q1 2026 Earnings Call (May 7, 2026) | Timberlands &amp; Lumber Pricing Read-Through</w:t>
      </w:r>
    </w:p>
    <w:p>
      <w:r>
        <w:rPr>
          <w:rFonts w:ascii="Calibri" w:hAnsi="Calibri"/>
          <w:b/>
          <w:color w:val="525866"/>
          <w:sz w:val="22"/>
        </w:rPr>
        <w:t xml:space="preserve">Relevance: </w:t>
      </w:r>
      <w:r>
        <w:rPr>
          <w:rFonts w:ascii="Calibri" w:hAnsi="Calibri"/>
          <w:color w:val="525866"/>
          <w:sz w:val="22"/>
        </w:rPr>
        <w:t>RYN is WY’s closest pure-play timberland peer (post-merger with PotlatchDeltic). Its Q1 2026 call provided explicit Q2 2026 lumber pricing and log market guidance.</w:t>
      </w:r>
    </w:p>
    <w:p>
      <w:pPr>
        <w:pStyle w:val="ListBullet"/>
        <w:ind w:left="360" w:hanging="360"/>
      </w:pPr>
      <w:r>
        <w:rPr>
          <w:rFonts w:ascii="Calibri" w:hAnsi="Calibri"/>
          <w:b/>
          <w:color w:val="525866"/>
          <w:sz w:val="22"/>
        </w:rPr>
        <w:t xml:space="preserve">Lumber pricing recovery confirmed: </w:t>
      </w:r>
      <w:r>
        <w:rPr>
          <w:rFonts w:ascii="Calibri" w:hAnsi="Calibri"/>
          <w:color w:val="525866"/>
          <w:sz w:val="22"/>
        </w:rPr>
        <w:t>RYN reported Q2 2026 QTD average lumber price of $505/MBF (as of early May), up ~11% from Q4 2025’s $384/MBF average. This is directionally consistent with WY’s June 25 update showing +$65/MBF QTD vs. Q1 ($443), implying WY’s Q2 QTD average of ~$508/MBF — a strong read-through.</w:t>
      </w:r>
    </w:p>
    <w:p>
      <w:pPr>
        <w:pStyle w:val="ListBullet"/>
        <w:ind w:left="360" w:hanging="360"/>
      </w:pPr>
      <w:r>
        <w:rPr>
          <w:rFonts w:ascii="Calibri" w:hAnsi="Calibri"/>
          <w:b/>
          <w:color w:val="525866"/>
          <w:sz w:val="22"/>
        </w:rPr>
        <w:t xml:space="preserve">Supply rationalization is durable: </w:t>
      </w:r>
      <w:r>
        <w:rPr>
          <w:rFonts w:ascii="Calibri" w:hAnsi="Calibri"/>
          <w:color w:val="525866"/>
          <w:sz w:val="22"/>
        </w:rPr>
        <w:t>RYN noted the lumber market improvement reflects “reduced supply due to mill curtailments and higher tariffs on Canadian imports as well as improved demand heading into the spring building season.” Pricing continued positive into mid-April before moderating on more balanced supply-demand. This supports WY’s view that Southern Yellow Pine structural share gains are durable.</w:t>
      </w:r>
    </w:p>
    <w:p>
      <w:pPr>
        <w:pStyle w:val="ListBullet"/>
        <w:ind w:left="360" w:hanging="360"/>
      </w:pPr>
      <w:r>
        <w:rPr>
          <w:rFonts w:ascii="Calibri" w:hAnsi="Calibri"/>
          <w:b/>
          <w:color w:val="525866"/>
          <w:sz w:val="22"/>
        </w:rPr>
        <w:t xml:space="preserve">Canadian duty structure: </w:t>
      </w:r>
      <w:r>
        <w:rPr>
          <w:rFonts w:ascii="Calibri" w:hAnsi="Calibri"/>
          <w:color w:val="525866"/>
          <w:sz w:val="22"/>
        </w:rPr>
        <w:t>RYN confirmed AR7 preliminary AD/CVD duties of ~24-25%, with all-in burden (including 10% Section 232) of ~35% — “still highly restrictive.” RYN does not see anything on the horizon to reverse the shift in North American production from Canada to the U.S. Positive read-through for WY’s Southern Yellow Pine positioning.</w:t>
      </w:r>
    </w:p>
    <w:p>
      <w:pPr>
        <w:pStyle w:val="ListBullet"/>
        <w:ind w:left="360" w:hanging="360"/>
      </w:pPr>
      <w:r>
        <w:rPr>
          <w:rFonts w:ascii="Calibri" w:hAnsi="Calibri"/>
          <w:b/>
          <w:color w:val="525866"/>
          <w:sz w:val="22"/>
        </w:rPr>
        <w:t xml:space="preserve">Southern log markets: </w:t>
      </w:r>
      <w:r>
        <w:rPr>
          <w:rFonts w:ascii="Calibri" w:hAnsi="Calibri"/>
          <w:color w:val="525866"/>
          <w:sz w:val="22"/>
        </w:rPr>
        <w:t>RYN guided Q2 2026 Southern Timber harvest volumes of 2.9-3.1M tons with sawtimber and pulpwood prices “relatively stable” vs. Q1. Pulpwood markets remain challenged from mill closures and dry weather. Consistent with WY’s Q2 guidance of comparable Southern log realizations.</w:t>
      </w:r>
    </w:p>
    <w:p>
      <w:pPr>
        <w:pStyle w:val="ListBullet"/>
        <w:ind w:left="360" w:hanging="360"/>
      </w:pPr>
      <w:r>
        <w:rPr>
          <w:rFonts w:ascii="Calibri" w:hAnsi="Calibri"/>
          <w:b/>
          <w:color w:val="525866"/>
          <w:sz w:val="22"/>
        </w:rPr>
        <w:t xml:space="preserve">Wood Products EBITDA expected higher in Q2: </w:t>
      </w:r>
      <w:r>
        <w:rPr>
          <w:rFonts w:ascii="Calibri" w:hAnsi="Calibri"/>
          <w:color w:val="525866"/>
          <w:sz w:val="22"/>
        </w:rPr>
        <w:t>RYN guided Wood Products segment Adj. EBITDA “higher in Q2 vs. Q1” based on QTD pricing. Positive read-through for WY’s Wood Products segment.</w:t>
      </w:r>
    </w:p>
    <w:p>
      <w:pPr>
        <w:pStyle w:val="Heading3"/>
      </w:pPr>
      <w:r>
        <w:rPr>
          <w:rFonts w:ascii="Calibri" w:hAnsi="Calibri"/>
          <w:b/>
          <w:color w:val="3B4259"/>
          <w:sz w:val="24"/>
        </w:rPr>
        <w:t>Louisiana-Pacific (LPX) — Q1 2026 Earnings Call (May 6, 2026) | OSB Pricing Read-Through</w:t>
      </w:r>
    </w:p>
    <w:p>
      <w:r>
        <w:rPr>
          <w:rFonts w:ascii="Calibri" w:hAnsi="Calibri"/>
          <w:b/>
          <w:color w:val="525866"/>
          <w:sz w:val="22"/>
        </w:rPr>
        <w:t xml:space="preserve">Relevance: </w:t>
      </w:r>
      <w:r>
        <w:rPr>
          <w:rFonts w:ascii="Calibri" w:hAnsi="Calibri"/>
          <w:color w:val="525866"/>
          <w:sz w:val="22"/>
        </w:rPr>
        <w:t>LPX is a major OSB producer. Its Q1 2026 commentary provides a direct read-through on OSB market conditions heading into Q2 2026.</w:t>
      </w:r>
    </w:p>
    <w:p>
      <w:pPr>
        <w:pStyle w:val="ListBullet"/>
        <w:ind w:left="360" w:hanging="360"/>
      </w:pPr>
      <w:r>
        <w:rPr>
          <w:rFonts w:ascii="Calibri" w:hAnsi="Calibri"/>
          <w:b/>
          <w:color w:val="525866"/>
          <w:sz w:val="22"/>
        </w:rPr>
        <w:t xml:space="preserve">OSB pricing remains challenged: </w:t>
      </w:r>
      <w:r>
        <w:rPr>
          <w:rFonts w:ascii="Calibri" w:hAnsi="Calibri"/>
          <w:color w:val="525866"/>
          <w:sz w:val="22"/>
        </w:rPr>
        <w:t>LPX reported OSB prices 28% below Q1 2025 levels, with Q1 2026 OSB near EBITDA breakeven. For Q2 2026, LPX guided OSB EBITDA to a loss of ~$10M, noting that “Friday’s print included a significant drop in the Southeast and Southwest regions, bringing OSB prices back under EBITDA breakeven levels.” This is a cautious read-through for WY’s OSB segment, consistent with WY’s own guidance of only +$5/MSF QTD vs. Q1.</w:t>
      </w:r>
    </w:p>
    <w:p>
      <w:pPr>
        <w:pStyle w:val="ListBullet"/>
        <w:ind w:left="360" w:hanging="360"/>
      </w:pPr>
      <w:r>
        <w:rPr>
          <w:rFonts w:ascii="Calibri" w:hAnsi="Calibri"/>
          <w:b/>
          <w:color w:val="525866"/>
          <w:sz w:val="22"/>
        </w:rPr>
        <w:t xml:space="preserve">Housing market not recovering yet: </w:t>
      </w:r>
      <w:r>
        <w:rPr>
          <w:rFonts w:ascii="Calibri" w:hAnsi="Calibri"/>
          <w:color w:val="525866"/>
          <w:sz w:val="22"/>
        </w:rPr>
        <w:t>LPX stated “the housing market and general consumer sentiment aren’t showing the hoped-for signs of recovery yet, and this is most acutely felt in OSB demand and prices.” Following the Middle East conflict, “not only are those market indicators not improving, but they continue to erode.” LPX tempered H2 2026 expectations. Negative read-through for OSB volume assumptions.</w:t>
      </w:r>
    </w:p>
    <w:p>
      <w:pPr>
        <w:pStyle w:val="ListBullet"/>
        <w:ind w:left="360" w:hanging="360"/>
      </w:pPr>
      <w:r>
        <w:rPr>
          <w:rFonts w:ascii="Calibri" w:hAnsi="Calibri"/>
          <w:b/>
          <w:color w:val="525866"/>
          <w:sz w:val="22"/>
        </w:rPr>
        <w:t xml:space="preserve">Capacity rationalization underway: </w:t>
      </w:r>
      <w:r>
        <w:rPr>
          <w:rFonts w:ascii="Calibri" w:hAnsi="Calibri"/>
          <w:color w:val="525866"/>
          <w:sz w:val="22"/>
        </w:rPr>
        <w:t>LPX noted a competitor “taking out a plant or plants coming offline in Western Canada.” Supply rationalization could support OSB pricing recovery in H2 2026, but the near-term Q2 picture remains soft.</w:t>
      </w:r>
    </w:p>
    <w:p>
      <w:pPr>
        <w:pStyle w:val="Heading3"/>
      </w:pPr>
      <w:r>
        <w:rPr>
          <w:rFonts w:ascii="Calibri" w:hAnsi="Calibri"/>
          <w:b/>
          <w:color w:val="3B4259"/>
          <w:sz w:val="24"/>
        </w:rPr>
        <w:t>Boise Cascade (BCC) — Q1 2026 Earnings Call (May 5, 2026) | EWP &amp; Distribution Read-Through</w:t>
      </w:r>
    </w:p>
    <w:p>
      <w:r>
        <w:rPr>
          <w:rFonts w:ascii="Calibri" w:hAnsi="Calibri"/>
          <w:b/>
          <w:color w:val="525866"/>
          <w:sz w:val="22"/>
        </w:rPr>
        <w:t xml:space="preserve">Relevance: </w:t>
      </w:r>
      <w:r>
        <w:rPr>
          <w:rFonts w:ascii="Calibri" w:hAnsi="Calibri"/>
          <w:color w:val="525866"/>
          <w:sz w:val="22"/>
        </w:rPr>
        <w:t>BCC is a major EWP distributor and manufacturer. Its Q1 2026 commentary provides read-through on EWP pricing and building materials distribution demand heading into Q2 2026.</w:t>
      </w:r>
    </w:p>
    <w:p>
      <w:pPr>
        <w:pStyle w:val="ListBullet"/>
        <w:ind w:left="360" w:hanging="360"/>
      </w:pPr>
      <w:r>
        <w:rPr>
          <w:rFonts w:ascii="Calibri" w:hAnsi="Calibri"/>
          <w:b/>
          <w:color w:val="525866"/>
          <w:sz w:val="22"/>
        </w:rPr>
        <w:t xml:space="preserve">EWP pricing pressure abating: </w:t>
      </w:r>
      <w:r>
        <w:rPr>
          <w:rFonts w:ascii="Calibri" w:hAnsi="Calibri"/>
          <w:color w:val="525866"/>
          <w:sz w:val="22"/>
        </w:rPr>
        <w:t>BCC guided Q2 2026 EWP pricing “flat to low single-digit decline sequentially,” with EWP volumes expected to increase mid-single digits. BCC noted pricing pressure is “abating and starting to trail off.” Consistent with WY’s Q2 guidance of “comparable average sales realizations” for EWP with higher volumes.</w:t>
      </w:r>
    </w:p>
    <w:p>
      <w:pPr>
        <w:pStyle w:val="ListBullet"/>
        <w:ind w:left="360" w:hanging="360"/>
      </w:pPr>
      <w:r>
        <w:rPr>
          <w:rFonts w:ascii="Calibri" w:hAnsi="Calibri"/>
          <w:b/>
          <w:color w:val="525866"/>
          <w:sz w:val="22"/>
        </w:rPr>
        <w:t xml:space="preserve">Distribution daily sales pace +15% above Q1: </w:t>
      </w:r>
      <w:r>
        <w:rPr>
          <w:rFonts w:ascii="Calibri" w:hAnsi="Calibri"/>
          <w:color w:val="525866"/>
          <w:sz w:val="22"/>
        </w:rPr>
        <w:t>BCC’s Building Materials Distribution (BMD) segment reported current daily sales pace ~15% above Q1’s $22M/day, guiding Q2 BMD EBITDA of $65-80M. This is a positive read-through for WY’s Distribution segment, which management guided to “slightly higher” Adj. EBITDA in Q2.</w:t>
      </w:r>
    </w:p>
    <w:p>
      <w:pPr>
        <w:pStyle w:val="ListBullet"/>
        <w:ind w:left="360" w:hanging="360"/>
      </w:pPr>
      <w:r>
        <w:rPr>
          <w:rFonts w:ascii="Calibri" w:hAnsi="Calibri"/>
          <w:b/>
          <w:color w:val="525866"/>
          <w:sz w:val="22"/>
        </w:rPr>
        <w:t xml:space="preserve">Housing market: lean but stable channel: </w:t>
      </w:r>
      <w:r>
        <w:rPr>
          <w:rFonts w:ascii="Calibri" w:hAnsi="Calibri"/>
          <w:color w:val="525866"/>
          <w:sz w:val="22"/>
        </w:rPr>
        <w:t>BCC described the building materials channel as “lean, but relatively stable,” with customer purchases more consistent than the “start-stop” pattern of 2025. Single-family demand “very much muted” but structural drivers (undersupply, aging housing stock) remain intact. Neutral read-through for WY’s volume assumptions.</w:t>
      </w:r>
    </w:p>
    <w:p>
      <w:pPr>
        <w:pStyle w:val="ListBullet"/>
        <w:ind w:left="360" w:hanging="360"/>
      </w:pPr>
      <w:r>
        <w:rPr>
          <w:rFonts w:ascii="Calibri" w:hAnsi="Calibri"/>
          <w:b/>
          <w:color w:val="525866"/>
          <w:sz w:val="22"/>
        </w:rPr>
        <w:t xml:space="preserve">Resin and energy cost inflation: </w:t>
      </w:r>
      <w:r>
        <w:rPr>
          <w:rFonts w:ascii="Calibri" w:hAnsi="Calibri"/>
          <w:color w:val="525866"/>
          <w:sz w:val="22"/>
        </w:rPr>
        <w:t>BCC flagged ~10% increases in resin costs and energy, consistent with WY’s Q2 guidance of “higher resin prices” driving higher OSB unit manufacturing costs. Confirms the cost headwind WY has already guided.</w:t>
      </w:r>
    </w:p>
    <w:p>
      <w:pPr>
        <w:pStyle w:val="Heading3"/>
      </w:pPr>
      <w:r>
        <w:rPr>
          <w:rFonts w:ascii="Calibri" w:hAnsi="Calibri"/>
          <w:b/>
          <w:color w:val="3B4259"/>
          <w:sz w:val="24"/>
        </w:rPr>
        <w:t>PulteGroup (PHM) — Q2 2026 Earnings Call (July 22, 2026) | Housing Demand &amp; Lumber Cost Read-Through</w:t>
      </w:r>
    </w:p>
    <w:p>
      <w:r>
        <w:rPr>
          <w:rFonts w:ascii="Calibri" w:hAnsi="Calibri"/>
          <w:b/>
          <w:color w:val="525866"/>
          <w:sz w:val="22"/>
        </w:rPr>
        <w:t xml:space="preserve">Relevance: </w:t>
      </w:r>
      <w:r>
        <w:rPr>
          <w:rFonts w:ascii="Calibri" w:hAnsi="Calibri"/>
          <w:color w:val="525866"/>
          <w:sz w:val="22"/>
        </w:rPr>
        <w:t>PHM is one of the largest U.S. homebuilders. Its Q2 2026 results (calendar Q2, WY’s current reporting quarter) provide a direct read-through on housing demand, lumber cost trends, and builder activity during the quarter.</w:t>
      </w:r>
    </w:p>
    <w:p>
      <w:pPr>
        <w:pStyle w:val="ListBullet"/>
        <w:ind w:left="360" w:hanging="360"/>
      </w:pPr>
      <w:r>
        <w:rPr>
          <w:rFonts w:ascii="Calibri" w:hAnsi="Calibri"/>
          <w:b/>
          <w:color w:val="525866"/>
          <w:sz w:val="22"/>
        </w:rPr>
        <w:t xml:space="preserve">Lumber at highest levels in several quarters: </w:t>
      </w:r>
      <w:r>
        <w:rPr>
          <w:rFonts w:ascii="Calibri" w:hAnsi="Calibri"/>
          <w:color w:val="525866"/>
          <w:sz w:val="22"/>
        </w:rPr>
        <w:t>PHM CEO Ryan Marshall noted “lumber is at the highest levels we’ve seen in several quarters” and that this will “flow through closings starting maybe early next year.” This confirms the lumber pricing recovery WY has been experiencing in Q2 2026, and validates the +$65/MBF QTD pricing tailwind.</w:t>
      </w:r>
    </w:p>
    <w:p>
      <w:pPr>
        <w:pStyle w:val="ListBullet"/>
        <w:ind w:left="360" w:hanging="360"/>
      </w:pPr>
      <w:r>
        <w:rPr>
          <w:rFonts w:ascii="Calibri" w:hAnsi="Calibri"/>
          <w:b/>
          <w:color w:val="525866"/>
          <w:sz w:val="22"/>
        </w:rPr>
        <w:t xml:space="preserve">House costs down 5% YoY, but lumber tailwind fading: </w:t>
      </w:r>
      <w:r>
        <w:rPr>
          <w:rFonts w:ascii="Calibri" w:hAnsi="Calibri"/>
          <w:color w:val="525866"/>
          <w:sz w:val="22"/>
        </w:rPr>
        <w:t>PHM reported Q2 house costs of ~$75/sq ft, down 5% YoY and ~1% sequentially. However, management explicitly flagged that “we will lose the tailwind of lower lumber costs as we move through the year” — a forward-looking caution that higher lumber prices will eventually flow through to builder cost structures, potentially moderating new home starts in 2027.</w:t>
      </w:r>
    </w:p>
    <w:p>
      <w:pPr>
        <w:pStyle w:val="ListBullet"/>
        <w:ind w:left="360" w:hanging="360"/>
      </w:pPr>
      <w:r>
        <w:rPr>
          <w:rFonts w:ascii="Calibri" w:hAnsi="Calibri"/>
          <w:b/>
          <w:color w:val="525866"/>
          <w:sz w:val="22"/>
        </w:rPr>
        <w:t xml:space="preserve">Housing demand: choppy but orders up 6% YoY: </w:t>
      </w:r>
      <w:r>
        <w:rPr>
          <w:rFonts w:ascii="Calibri" w:hAnsi="Calibri"/>
          <w:color w:val="525866"/>
          <w:sz w:val="22"/>
        </w:rPr>
        <w:t>PHM reported Q2 net new orders +6% YoY, with active orders up 12%. Consumer activity was “impacted by global tensions, macroeconomic uncertainty, and the material movement in interest rates.” Demand followed typical seasonal patterns. Florida orders +19% YoY. Midwest and Carolinas strong. West (California/Pacific Northwest) soft. Consistent with WY’s characterization of housing as “stuck in second gear.</w:t>
      </w:r>
    </w:p>
    <w:p>
      <w:pPr>
        <w:pStyle w:val="ListBullet"/>
        <w:ind w:left="360" w:hanging="360"/>
      </w:pPr>
      <w:r>
        <w:rPr>
          <w:rFonts w:ascii="Calibri" w:hAnsi="Calibri"/>
          <w:b/>
          <w:color w:val="525866"/>
          <w:sz w:val="22"/>
        </w:rPr>
        <w:t xml:space="preserve">Incentives declining but still elevated: </w:t>
      </w:r>
      <w:r>
        <w:rPr>
          <w:rFonts w:ascii="Calibri" w:hAnsi="Calibri"/>
          <w:color w:val="525866"/>
          <w:sz w:val="22"/>
        </w:rPr>
        <w:t>PHM incentives declined 50bps sequentially to 10.4% of revenues — the first real decline after three years of increases. Management expects incentives to “remain elevated” given affordability challenges. Mortgage rates at ~6.5% remain a headwind. This suggests housing demand is stabilizing but not accelerating, which is consistent with WY’s cautious housing outlook.</w:t>
      </w:r>
    </w:p>
    <w:p>
      <w:pPr>
        <w:pStyle w:val="ListBullet"/>
        <w:ind w:left="360" w:hanging="360"/>
      </w:pPr>
      <w:r>
        <w:rPr>
          <w:rFonts w:ascii="Calibri" w:hAnsi="Calibri"/>
          <w:b/>
          <w:color w:val="525866"/>
          <w:sz w:val="22"/>
        </w:rPr>
        <w:t xml:space="preserve">Oil/energy costs the key concern: </w:t>
      </w:r>
      <w:r>
        <w:rPr>
          <w:rFonts w:ascii="Calibri" w:hAnsi="Calibri"/>
          <w:color w:val="525866"/>
          <w:sz w:val="22"/>
        </w:rPr>
        <w:t>PHM flagged oil as the primary cost concern (“most nervous about”), given its impact on asphalt, underground piping, and diesel. This is consistent with WY’s guidance of elevated fuel costs driving higher per-unit log and haul costs in Q2.</w:t>
      </w:r>
    </w:p>
    <w:p>
      <w:pPr>
        <w:pStyle w:val="Heading3"/>
      </w:pPr>
      <w:r>
        <w:rPr>
          <w:rFonts w:ascii="Calibri" w:hAnsi="Calibri"/>
          <w:b/>
          <w:color w:val="3B4259"/>
          <w:sz w:val="24"/>
        </w:rPr>
        <w:t>D.R. Horton (DHI) — Fiscal Q3 2026 Earnings Call (July 21, 2026) | Housing Starts &amp; Lumber Cost Read-Through</w:t>
      </w:r>
    </w:p>
    <w:p>
      <w:r>
        <w:rPr>
          <w:rFonts w:ascii="Calibri" w:hAnsi="Calibri"/>
          <w:b/>
          <w:color w:val="525866"/>
          <w:sz w:val="22"/>
        </w:rPr>
        <w:t xml:space="preserve">Relevance: </w:t>
      </w:r>
      <w:r>
        <w:rPr>
          <w:rFonts w:ascii="Calibri" w:hAnsi="Calibri"/>
          <w:color w:val="525866"/>
          <w:sz w:val="22"/>
        </w:rPr>
        <w:t>DHI is the largest U.S. homebuilder by volume. Its fiscal Q3 2026 (calendar Q2 2026) results provide the most direct read-through on housing starts activity and lumber cost trends during WY’s current reporting quarter.</w:t>
      </w:r>
    </w:p>
    <w:p>
      <w:pPr>
        <w:pStyle w:val="ListBullet"/>
        <w:ind w:left="360" w:hanging="360"/>
      </w:pPr>
      <w:r>
        <w:rPr>
          <w:rFonts w:ascii="Calibri" w:hAnsi="Calibri"/>
          <w:b/>
          <w:color w:val="525866"/>
          <w:sz w:val="22"/>
        </w:rPr>
        <w:t xml:space="preserve">Stick-and-brick costs down 5% YoY, framing leading the decline: </w:t>
      </w:r>
      <w:r>
        <w:rPr>
          <w:rFonts w:ascii="Calibri" w:hAnsi="Calibri"/>
          <w:color w:val="525866"/>
          <w:sz w:val="22"/>
        </w:rPr>
        <w:t>DHI reported gross margin of 20.7%, beating the high end of guidance, driven by lower “stick and brick costs” (down 2% per sq ft YoY, down 5% overall). Framing (labor + materials) was the primary driver. This reflects the lower lumber cost environment that prevailed in Q1 2026 (when DHI’s Q3 homes were started) — a lagged indicator. DHI noted a “slight lumber headwind again with where lumber prices have gone,” confirming the Q2 2026 lumber price recovery.</w:t>
      </w:r>
    </w:p>
    <w:p>
      <w:pPr>
        <w:pStyle w:val="ListBullet"/>
        <w:ind w:left="360" w:hanging="360"/>
      </w:pPr>
      <w:r>
        <w:rPr>
          <w:rFonts w:ascii="Calibri" w:hAnsi="Calibri"/>
          <w:b/>
          <w:color w:val="525866"/>
          <w:sz w:val="22"/>
        </w:rPr>
        <w:t xml:space="preserve">Demand softened through the quarter: </w:t>
      </w:r>
      <w:r>
        <w:rPr>
          <w:rFonts w:ascii="Calibri" w:hAnsi="Calibri"/>
          <w:color w:val="525866"/>
          <w:sz w:val="22"/>
        </w:rPr>
        <w:t>DHI noted demand “softened a little bit as we went through the quarter,” leading to a reduction in the annual delivery guide. Cancellation rate rose to 20% (from 17% prior year). Buyers need to be “a little more confident in the overall economy.” DHI started 23,900 homes in fiscal Q3 and expects Q4 starts to be lower. This is a cautious read-through for WY’s lumber and OSB volume assumptions.</w:t>
      </w:r>
    </w:p>
    <w:p>
      <w:pPr>
        <w:pStyle w:val="ListBullet"/>
        <w:ind w:left="360" w:hanging="360"/>
      </w:pPr>
      <w:r>
        <w:rPr>
          <w:rFonts w:ascii="Calibri" w:hAnsi="Calibri"/>
          <w:b/>
          <w:color w:val="525866"/>
          <w:sz w:val="22"/>
        </w:rPr>
        <w:t xml:space="preserve">Canadian tariff changes on concrete: </w:t>
      </w:r>
      <w:r>
        <w:rPr>
          <w:rFonts w:ascii="Calibri" w:hAnsi="Calibri"/>
          <w:color w:val="525866"/>
          <w:sz w:val="22"/>
        </w:rPr>
        <w:t>DHI addressed “recently announced Canadian tariff changes” on concrete, stating they do not expect a material impact. Separately, the all-in Canadian softwood lumber duty of ~35% (per WY and RYN) remains highly restrictive and is not expected to reverse Southern Yellow Pine share gains.</w:t>
      </w:r>
    </w:p>
    <w:p>
      <w:pPr>
        <w:pStyle w:val="ListBullet"/>
        <w:ind w:left="360" w:hanging="360"/>
      </w:pPr>
      <w:r>
        <w:rPr>
          <w:rFonts w:ascii="Calibri" w:hAnsi="Calibri"/>
          <w:b/>
          <w:color w:val="525866"/>
          <w:sz w:val="22"/>
        </w:rPr>
        <w:t xml:space="preserve">Cost savings expected to persist into Q4 and potentially 2027: </w:t>
      </w:r>
      <w:r>
        <w:rPr>
          <w:rFonts w:ascii="Calibri" w:hAnsi="Calibri"/>
          <w:color w:val="525866"/>
          <w:sz w:val="22"/>
        </w:rPr>
        <w:t>DHI expects current cost savings to persist “at least into the fourth quarter, and potentially into 2027.” The 2-3 quarter lag between lumber price changes and gross margin impact means the Q2 2026 lumber price recovery will flow through to DHI’s cost structure in early 2027 — a potential future headwind for builder demand but a near-term positive for WY’s lumber realizations.</w:t>
      </w:r>
    </w:p>
    <w:p>
      <w:pPr>
        <w:pStyle w:val="Heading3"/>
      </w:pPr>
      <w:r>
        <w:rPr>
          <w:rFonts w:ascii="Calibri" w:hAnsi="Calibri"/>
          <w:b/>
          <w:color w:val="3B4259"/>
          <w:sz w:val="24"/>
        </w:rPr>
        <w:t>Lennar (LEN) — Q2 2026 Earnings Call (June 12, 2026) | Housing Demand &amp; Macro Read-Through</w:t>
      </w:r>
    </w:p>
    <w:p>
      <w:r>
        <w:rPr>
          <w:rFonts w:ascii="Calibri" w:hAnsi="Calibri"/>
          <w:b/>
          <w:color w:val="525866"/>
          <w:sz w:val="22"/>
        </w:rPr>
        <w:t xml:space="preserve">Relevance: </w:t>
      </w:r>
      <w:r>
        <w:rPr>
          <w:rFonts w:ascii="Calibri" w:hAnsi="Calibri"/>
          <w:color w:val="525866"/>
          <w:sz w:val="22"/>
        </w:rPr>
        <w:t>LEN is the second-largest U.S. homebuilder. Its Q2 2026 results (fiscal Q2 ending May 31, 2026) provide read-through on housing demand and macro conditions during WY’s current reporting quarter.</w:t>
      </w:r>
    </w:p>
    <w:p>
      <w:pPr>
        <w:pStyle w:val="ListBullet"/>
        <w:ind w:left="360" w:hanging="360"/>
      </w:pPr>
      <w:r>
        <w:rPr>
          <w:rFonts w:ascii="Calibri" w:hAnsi="Calibri"/>
          <w:b/>
          <w:color w:val="525866"/>
          <w:sz w:val="22"/>
        </w:rPr>
        <w:t xml:space="preserve">Construction costs down 7% YoY, record low cycle time: </w:t>
      </w:r>
      <w:r>
        <w:rPr>
          <w:rFonts w:ascii="Calibri" w:hAnsi="Calibri"/>
          <w:color w:val="525866"/>
          <w:sz w:val="22"/>
        </w:rPr>
        <w:t>LEN reported construction costs per sq ft of $81, down 7% YoY and 13% from two years ago, with cycle time at a record low of 121 days. This reflects the lower lumber cost environment of prior quarters. LEN noted the “cost environment remains fluid and bears close attention.”</w:t>
      </w:r>
    </w:p>
    <w:p>
      <w:pPr>
        <w:pStyle w:val="ListBullet"/>
        <w:ind w:left="360" w:hanging="360"/>
      </w:pPr>
      <w:r>
        <w:rPr>
          <w:rFonts w:ascii="Calibri" w:hAnsi="Calibri"/>
          <w:b/>
          <w:color w:val="525866"/>
          <w:sz w:val="22"/>
        </w:rPr>
        <w:t xml:space="preserve">Incentives declining for the first time in three years: </w:t>
      </w:r>
      <w:r>
        <w:rPr>
          <w:rFonts w:ascii="Calibri" w:hAnsi="Calibri"/>
          <w:color w:val="525866"/>
          <w:sz w:val="22"/>
        </w:rPr>
        <w:t>LEN’s sales incentive rate on deliveries declined to 12.9% in Q2 (from 14.1% in Q1 and 14.5% in Q4 2025) — “the first real and potentially sustainable decline.” LEN described this as “an encouraging signal” and potential leading indicator of margin recovery. Positive for housing demand trajectory.</w:t>
      </w:r>
    </w:p>
    <w:p>
      <w:pPr>
        <w:pStyle w:val="ListBullet"/>
        <w:ind w:left="360" w:hanging="360"/>
      </w:pPr>
      <w:r>
        <w:rPr>
          <w:rFonts w:ascii="Calibri" w:hAnsi="Calibri"/>
          <w:b/>
          <w:color w:val="525866"/>
          <w:sz w:val="22"/>
        </w:rPr>
        <w:t xml:space="preserve">Inflation re-accelerating: </w:t>
      </w:r>
      <w:r>
        <w:rPr>
          <w:rFonts w:ascii="Calibri" w:hAnsi="Calibri"/>
          <w:color w:val="525866"/>
          <w:sz w:val="22"/>
        </w:rPr>
        <w:t>LEN flagged May CPI at 4.2% YoY (highest since early 2023), driven by energy (gasoline +40% YoY) tied to the Iran conflict. “Higher energy prices touch every part of the American household budget and tend to depress consumer confidence.” Fed funds rate at 3.5-3.75% with little probability of near-term cuts. This macro backdrop is consistent with WY’s Q2 guidance flagging Middle East conflict as an inflationary headwind.</w:t>
      </w:r>
    </w:p>
    <w:p>
      <w:pPr>
        <w:pStyle w:val="ListBullet"/>
        <w:ind w:left="360" w:hanging="360"/>
      </w:pPr>
      <w:r>
        <w:rPr>
          <w:rFonts w:ascii="Calibri" w:hAnsi="Calibri"/>
          <w:b/>
          <w:color w:val="525866"/>
          <w:sz w:val="22"/>
        </w:rPr>
        <w:t xml:space="preserve">Underlying demand real and growing, supply structurally short: </w:t>
      </w:r>
      <w:r>
        <w:rPr>
          <w:rFonts w:ascii="Calibri" w:hAnsi="Calibri"/>
          <w:color w:val="525866"/>
          <w:sz w:val="22"/>
        </w:rPr>
        <w:t>LEN CEO Stuart Miller stated “underlying demand is real and growing, supply is structurally short.” Federal government engagement with the housing crisis is “genuinely unprecedented” and meaningful federal action is “closer than the market currently believes.” Long-term positive for WY’s timberlands and wood products demand.</w:t>
      </w:r>
    </w:p>
    <w:p>
      <w:pPr>
        <w:pStyle w:val="ListBullet"/>
        <w:ind w:left="360" w:hanging="360"/>
      </w:pPr>
      <w:r>
        <w:rPr>
          <w:rFonts w:ascii="Calibri" w:hAnsi="Calibri"/>
          <w:b/>
          <w:color w:val="525866"/>
          <w:sz w:val="22"/>
        </w:rPr>
        <w:t xml:space="preserve">Annual delivery guidance reduced: </w:t>
      </w:r>
      <w:r>
        <w:rPr>
          <w:rFonts w:ascii="Calibri" w:hAnsi="Calibri"/>
          <w:color w:val="525866"/>
          <w:sz w:val="22"/>
        </w:rPr>
        <w:t>LEN reduced FY 2026 delivery guidance to 82,000-83,000 homes (from prior guidance), citing “current pressures on interest rates and continued macro uncertainty.” Mortgage rates stubbornly elevated at 6.4-6.5%. Cautious near-term read-through for WY’s volume assumptions.</w:t>
      </w:r>
    </w:p>
    <w:p>
      <w:pPr>
        <w:pStyle w:val="Heading3"/>
      </w:pPr>
      <w:r>
        <w:rPr>
          <w:rFonts w:ascii="Calibri" w:hAnsi="Calibri"/>
          <w:b/>
          <w:color w:val="3B4259"/>
          <w:sz w:val="24"/>
        </w:rPr>
        <w:t>M/I Homes (MHO) — Q2 2026 Earnings Call (July 29, 2026) | Housing Demand Read-Through</w:t>
      </w:r>
    </w:p>
    <w:p>
      <w:r>
        <w:rPr>
          <w:rFonts w:ascii="Calibri" w:hAnsi="Calibri"/>
          <w:b/>
          <w:color w:val="525866"/>
          <w:sz w:val="22"/>
        </w:rPr>
        <w:t xml:space="preserve">Relevance: </w:t>
      </w:r>
      <w:r>
        <w:rPr>
          <w:rFonts w:ascii="Calibri" w:hAnsi="Calibri"/>
          <w:color w:val="525866"/>
          <w:sz w:val="22"/>
        </w:rPr>
        <w:t>MHO reported Q2 2026 results on the same day as this preview (July 29, 2026), providing the most current read on housing demand conditions during WY’s reporting quarter.</w:t>
      </w:r>
    </w:p>
    <w:p>
      <w:pPr>
        <w:pStyle w:val="ListBullet"/>
        <w:ind w:left="360" w:hanging="360"/>
      </w:pPr>
      <w:r>
        <w:rPr>
          <w:rFonts w:ascii="Calibri" w:hAnsi="Calibri"/>
          <w:b/>
          <w:color w:val="525866"/>
          <w:sz w:val="22"/>
        </w:rPr>
        <w:t xml:space="preserve">Record Q2 sales despite choppy demand: </w:t>
      </w:r>
      <w:r>
        <w:rPr>
          <w:rFonts w:ascii="Calibri" w:hAnsi="Calibri"/>
          <w:color w:val="525866"/>
          <w:sz w:val="22"/>
        </w:rPr>
        <w:t>MHO sold a Q2 record 2,387 homes (+15% YoY) despite “choppy demand, economic uncertainty, rising interest rates and the impact of the conflict in the Middle East.” Monthly sales pace averaged 3.4 homes/community (vs. 3.0 prior year). Northern region +16%, Southern region +14%. Carolinas the biggest increase.</w:t>
      </w:r>
    </w:p>
    <w:p>
      <w:pPr>
        <w:pStyle w:val="ListBullet"/>
        <w:ind w:left="360" w:hanging="360"/>
      </w:pPr>
      <w:r>
        <w:rPr>
          <w:rFonts w:ascii="Calibri" w:hAnsi="Calibri"/>
          <w:b/>
          <w:color w:val="525866"/>
          <w:sz w:val="22"/>
        </w:rPr>
        <w:t xml:space="preserve">Construction costs down slightly: </w:t>
      </w:r>
      <w:r>
        <w:rPr>
          <w:rFonts w:ascii="Calibri" w:hAnsi="Calibri"/>
          <w:color w:val="525866"/>
          <w:sz w:val="22"/>
        </w:rPr>
        <w:t>MHO reported construction costs “down slightly during the quarter compared to Q1,” with “sticks and bricks down a little bit.” No specific lumber pricing commentary, but the directional trend is consistent with the broader industry. Cycle time improved by a couple of days.</w:t>
      </w:r>
    </w:p>
    <w:p>
      <w:pPr>
        <w:pStyle w:val="ListBullet"/>
        <w:ind w:left="360" w:hanging="360"/>
      </w:pPr>
      <w:r>
        <w:rPr>
          <w:rFonts w:ascii="Calibri" w:hAnsi="Calibri"/>
          <w:b/>
          <w:color w:val="525866"/>
          <w:sz w:val="22"/>
        </w:rPr>
        <w:t xml:space="preserve">Mortgage rate buy-downs essential: </w:t>
      </w:r>
      <w:r>
        <w:rPr>
          <w:rFonts w:ascii="Calibri" w:hAnsi="Calibri"/>
          <w:color w:val="525866"/>
          <w:sz w:val="22"/>
        </w:rPr>
        <w:t>MHO CEO noted “if it weren’t for mortgage rate buy-downs industrywide, the sales environment would be bleak.” 30-year fixed rate at par ~7%; MHO offering spec rates slightly below 5%. Buyer pool “relatively constrained.” Affordability remains the primary demand constraint.</w:t>
      </w:r>
    </w:p>
    <w:p>
      <w:pPr>
        <w:pStyle w:val="ListBullet"/>
        <w:ind w:left="360" w:hanging="360"/>
      </w:pPr>
      <w:r>
        <w:rPr>
          <w:rFonts w:ascii="Calibri" w:hAnsi="Calibri"/>
          <w:b/>
          <w:color w:val="525866"/>
          <w:sz w:val="22"/>
        </w:rPr>
        <w:t xml:space="preserve">Data center construction pressuring concrete and energy: </w:t>
      </w:r>
      <w:r>
        <w:rPr>
          <w:rFonts w:ascii="Calibri" w:hAnsi="Calibri"/>
          <w:color w:val="525866"/>
          <w:sz w:val="22"/>
        </w:rPr>
        <w:t>MHO flagged “pressures on concrete and energy” from data center construction hiring subcontractors and suppliers. Consistent with WY’s data center land sales opportunity and the broader inflationary backdrop.</w:t>
      </w:r>
    </w:p>
    <w:p>
      <w:pPr>
        <w:pStyle w:val="Heading3"/>
      </w:pPr>
      <w:r>
        <w:rPr>
          <w:rFonts w:ascii="Calibri" w:hAnsi="Calibri"/>
          <w:b/>
          <w:color w:val="3B4259"/>
          <w:sz w:val="24"/>
        </w:rPr>
        <w:t>Peer Read-Through Summary Table</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Peer</w:t>
            </w:r>
          </w:p>
        </w:tc>
        <w:tc>
          <w:tcPr>
            <w:tcW w:type="dxa" w:w="2160"/>
            <w:shd w:val="clear" w:color="auto" w:fill="3B4259"/>
          </w:tcPr>
          <w:p>
            <w:r>
              <w:rPr>
                <w:rFonts w:ascii="Calibri" w:hAnsi="Calibri"/>
                <w:b/>
                <w:color w:val="FFFFFF"/>
                <w:sz w:val="22"/>
              </w:rPr>
              <w:t>Report Date</w:t>
            </w:r>
          </w:p>
        </w:tc>
        <w:tc>
          <w:tcPr>
            <w:tcW w:type="dxa" w:w="2160"/>
            <w:shd w:val="clear" w:color="auto" w:fill="3B4259"/>
          </w:tcPr>
          <w:p>
            <w:r>
              <w:rPr>
                <w:rFonts w:ascii="Calibri" w:hAnsi="Calibri"/>
                <w:b/>
                <w:color w:val="FFFFFF"/>
                <w:sz w:val="22"/>
              </w:rPr>
              <w:t>Key Signal for WY</w:t>
            </w:r>
          </w:p>
        </w:tc>
        <w:tc>
          <w:tcPr>
            <w:tcW w:type="dxa" w:w="2160"/>
            <w:shd w:val="clear" w:color="auto" w:fill="3B4259"/>
          </w:tcPr>
          <w:p>
            <w:r>
              <w:rPr>
                <w:rFonts w:ascii="Calibri" w:hAnsi="Calibri"/>
                <w:b/>
                <w:color w:val="FFFFFF"/>
                <w:sz w:val="22"/>
              </w:rPr>
              <w:t>Direction</w:t>
            </w:r>
          </w:p>
        </w:tc>
      </w:tr>
      <w:tr>
        <w:tc>
          <w:tcPr>
            <w:tcW w:type="dxa" w:w="2160"/>
          </w:tcPr>
          <w:p>
            <w:r>
              <w:rPr>
                <w:rFonts w:ascii="Calibri" w:hAnsi="Calibri"/>
                <w:sz w:val="22"/>
              </w:rPr>
              <w:t>RYN (Rayonier)</w:t>
            </w:r>
          </w:p>
        </w:tc>
        <w:tc>
          <w:tcPr>
            <w:tcW w:type="dxa" w:w="2160"/>
          </w:tcPr>
          <w:p>
            <w:r>
              <w:rPr>
                <w:rFonts w:ascii="Calibri" w:hAnsi="Calibri"/>
                <w:sz w:val="22"/>
              </w:rPr>
              <w:t>May 7, 2026</w:t>
            </w:r>
          </w:p>
        </w:tc>
        <w:tc>
          <w:tcPr>
            <w:tcW w:type="dxa" w:w="2160"/>
          </w:tcPr>
          <w:p>
            <w:r>
              <w:rPr>
                <w:rFonts w:ascii="Calibri" w:hAnsi="Calibri"/>
                <w:sz w:val="22"/>
              </w:rPr>
              <w:t>Q2 lumber QTD $505/MBF; Southern log prices stable; Wood Products EBITDA higher in Q2; Canadian duties still ~35% all-in</w:t>
            </w:r>
          </w:p>
        </w:tc>
        <w:tc>
          <w:tcPr>
            <w:tcW w:type="dxa" w:w="2160"/>
          </w:tcPr>
          <w:p>
            <w:r>
              <w:rPr>
                <w:rFonts w:ascii="Calibri" w:hAnsi="Calibri"/>
                <w:b/>
                <w:color w:val="30A46C"/>
                <w:sz w:val="22"/>
              </w:rPr>
              <w:t>Positive</w:t>
            </w:r>
          </w:p>
        </w:tc>
      </w:tr>
      <w:tr>
        <w:tc>
          <w:tcPr>
            <w:tcW w:type="dxa" w:w="2160"/>
          </w:tcPr>
          <w:p>
            <w:r>
              <w:rPr>
                <w:rFonts w:ascii="Calibri" w:hAnsi="Calibri"/>
                <w:sz w:val="22"/>
              </w:rPr>
              <w:t>LPX (Louisiana-Pacific)</w:t>
            </w:r>
          </w:p>
        </w:tc>
        <w:tc>
          <w:tcPr>
            <w:tcW w:type="dxa" w:w="2160"/>
          </w:tcPr>
          <w:p>
            <w:r>
              <w:rPr>
                <w:rFonts w:ascii="Calibri" w:hAnsi="Calibri"/>
                <w:sz w:val="22"/>
              </w:rPr>
              <w:t>May 6, 2026</w:t>
            </w:r>
          </w:p>
        </w:tc>
        <w:tc>
          <w:tcPr>
            <w:tcW w:type="dxa" w:w="2160"/>
          </w:tcPr>
          <w:p>
            <w:r>
              <w:rPr>
                <w:rFonts w:ascii="Calibri" w:hAnsi="Calibri"/>
                <w:sz w:val="22"/>
              </w:rPr>
              <w:t>OSB back below EBITDA breakeven in SE/SW; housing demand not recovering; capacity rationalization underway</w:t>
            </w:r>
          </w:p>
        </w:tc>
        <w:tc>
          <w:tcPr>
            <w:tcW w:type="dxa" w:w="2160"/>
          </w:tcPr>
          <w:p>
            <w:r>
              <w:rPr>
                <w:rFonts w:ascii="Calibri" w:hAnsi="Calibri"/>
                <w:b/>
                <w:color w:val="E5484D"/>
                <w:sz w:val="22"/>
              </w:rPr>
              <w:t>Cautious on OSB</w:t>
            </w:r>
          </w:p>
        </w:tc>
      </w:tr>
      <w:tr>
        <w:tc>
          <w:tcPr>
            <w:tcW w:type="dxa" w:w="2160"/>
          </w:tcPr>
          <w:p>
            <w:r>
              <w:rPr>
                <w:rFonts w:ascii="Calibri" w:hAnsi="Calibri"/>
                <w:sz w:val="22"/>
              </w:rPr>
              <w:t>BCC (Boise Cascade)</w:t>
            </w:r>
          </w:p>
        </w:tc>
        <w:tc>
          <w:tcPr>
            <w:tcW w:type="dxa" w:w="2160"/>
          </w:tcPr>
          <w:p>
            <w:r>
              <w:rPr>
                <w:rFonts w:ascii="Calibri" w:hAnsi="Calibri"/>
                <w:sz w:val="22"/>
              </w:rPr>
              <w:t>May 5, 2026</w:t>
            </w:r>
          </w:p>
        </w:tc>
        <w:tc>
          <w:tcPr>
            <w:tcW w:type="dxa" w:w="2160"/>
          </w:tcPr>
          <w:p>
            <w:r>
              <w:rPr>
                <w:rFonts w:ascii="Calibri" w:hAnsi="Calibri"/>
                <w:sz w:val="22"/>
              </w:rPr>
              <w:t>Distribution daily sales +15% above Q1; EWP pricing pressure abating; channel lean but stable; resin costs +10%</w:t>
            </w:r>
          </w:p>
        </w:tc>
        <w:tc>
          <w:tcPr>
            <w:tcW w:type="dxa" w:w="2160"/>
          </w:tcPr>
          <w:p>
            <w:r>
              <w:rPr>
                <w:rFonts w:ascii="Calibri" w:hAnsi="Calibri"/>
                <w:b/>
                <w:color w:val="30A46C"/>
                <w:sz w:val="22"/>
              </w:rPr>
              <w:t>Neutral/Positive</w:t>
            </w:r>
          </w:p>
        </w:tc>
      </w:tr>
      <w:tr>
        <w:tc>
          <w:tcPr>
            <w:tcW w:type="dxa" w:w="2160"/>
          </w:tcPr>
          <w:p>
            <w:r>
              <w:rPr>
                <w:rFonts w:ascii="Calibri" w:hAnsi="Calibri"/>
                <w:sz w:val="22"/>
              </w:rPr>
              <w:t>PHM (PulteGroup)</w:t>
            </w:r>
          </w:p>
        </w:tc>
        <w:tc>
          <w:tcPr>
            <w:tcW w:type="dxa" w:w="2160"/>
          </w:tcPr>
          <w:p>
            <w:r>
              <w:rPr>
                <w:rFonts w:ascii="Calibri" w:hAnsi="Calibri"/>
                <w:sz w:val="22"/>
              </w:rPr>
              <w:t>July 22, 2026</w:t>
            </w:r>
          </w:p>
        </w:tc>
        <w:tc>
          <w:tcPr>
            <w:tcW w:type="dxa" w:w="2160"/>
          </w:tcPr>
          <w:p>
            <w:r>
              <w:rPr>
                <w:rFonts w:ascii="Calibri" w:hAnsi="Calibri"/>
                <w:sz w:val="22"/>
              </w:rPr>
              <w:t>Lumber at highest levels in several quarters; orders +6% YoY; incentives declining; housing choppy but stabilizing</w:t>
            </w:r>
          </w:p>
        </w:tc>
        <w:tc>
          <w:tcPr>
            <w:tcW w:type="dxa" w:w="2160"/>
          </w:tcPr>
          <w:p>
            <w:r>
              <w:rPr>
                <w:rFonts w:ascii="Calibri" w:hAnsi="Calibri"/>
                <w:b/>
                <w:color w:val="30A46C"/>
                <w:sz w:val="22"/>
              </w:rPr>
              <w:t>Positive on pricing</w:t>
            </w:r>
          </w:p>
        </w:tc>
      </w:tr>
      <w:tr>
        <w:tc>
          <w:tcPr>
            <w:tcW w:type="dxa" w:w="2160"/>
          </w:tcPr>
          <w:p>
            <w:r>
              <w:rPr>
                <w:rFonts w:ascii="Calibri" w:hAnsi="Calibri"/>
                <w:sz w:val="22"/>
              </w:rPr>
              <w:t>DHI (D.R. Horton)</w:t>
            </w:r>
          </w:p>
        </w:tc>
        <w:tc>
          <w:tcPr>
            <w:tcW w:type="dxa" w:w="2160"/>
          </w:tcPr>
          <w:p>
            <w:r>
              <w:rPr>
                <w:rFonts w:ascii="Calibri" w:hAnsi="Calibri"/>
                <w:sz w:val="22"/>
              </w:rPr>
              <w:t>July 21, 2026</w:t>
            </w:r>
          </w:p>
        </w:tc>
        <w:tc>
          <w:tcPr>
            <w:tcW w:type="dxa" w:w="2160"/>
          </w:tcPr>
          <w:p>
            <w:r>
              <w:rPr>
                <w:rFonts w:ascii="Calibri" w:hAnsi="Calibri"/>
                <w:sz w:val="22"/>
              </w:rPr>
              <w:t>Demand softened through Q2; starts to be lower in Q4; lumber headwind flagged for 2027; stick-and-brick costs down 5% YoY</w:t>
            </w:r>
          </w:p>
        </w:tc>
        <w:tc>
          <w:tcPr>
            <w:tcW w:type="dxa" w:w="2160"/>
          </w:tcPr>
          <w:p>
            <w:r>
              <w:rPr>
                <w:rFonts w:ascii="Calibri" w:hAnsi="Calibri"/>
                <w:i/>
                <w:sz w:val="22"/>
              </w:rPr>
              <w:t>Mixed</w:t>
            </w:r>
          </w:p>
        </w:tc>
      </w:tr>
      <w:tr>
        <w:tc>
          <w:tcPr>
            <w:tcW w:type="dxa" w:w="2160"/>
          </w:tcPr>
          <w:p>
            <w:r>
              <w:rPr>
                <w:rFonts w:ascii="Calibri" w:hAnsi="Calibri"/>
                <w:sz w:val="22"/>
              </w:rPr>
              <w:t>LEN (Lennar)</w:t>
            </w:r>
          </w:p>
        </w:tc>
        <w:tc>
          <w:tcPr>
            <w:tcW w:type="dxa" w:w="2160"/>
          </w:tcPr>
          <w:p>
            <w:r>
              <w:rPr>
                <w:rFonts w:ascii="Calibri" w:hAnsi="Calibri"/>
                <w:sz w:val="22"/>
              </w:rPr>
              <w:t>June 12, 2026</w:t>
            </w:r>
          </w:p>
        </w:tc>
        <w:tc>
          <w:tcPr>
            <w:tcW w:type="dxa" w:w="2160"/>
          </w:tcPr>
          <w:p>
            <w:r>
              <w:rPr>
                <w:rFonts w:ascii="Calibri" w:hAnsi="Calibri"/>
                <w:sz w:val="22"/>
              </w:rPr>
              <w:t>Delivery guide cut; inflation re-accelerating (CPI 4.2%); incentives declining for first time in 3 years; structural housing deficit intact</w:t>
            </w:r>
          </w:p>
        </w:tc>
        <w:tc>
          <w:tcPr>
            <w:tcW w:type="dxa" w:w="2160"/>
          </w:tcPr>
          <w:p>
            <w:r>
              <w:rPr>
                <w:rFonts w:ascii="Calibri" w:hAnsi="Calibri"/>
                <w:b/>
                <w:color w:val="E5484D"/>
                <w:sz w:val="22"/>
              </w:rPr>
              <w:t>Cautious near-term</w:t>
            </w:r>
          </w:p>
        </w:tc>
      </w:tr>
      <w:tr>
        <w:tc>
          <w:tcPr>
            <w:tcW w:type="dxa" w:w="2160"/>
          </w:tcPr>
          <w:p>
            <w:r>
              <w:rPr>
                <w:rFonts w:ascii="Calibri" w:hAnsi="Calibri"/>
                <w:sz w:val="22"/>
              </w:rPr>
              <w:t>MHO (M/I Homes)</w:t>
            </w:r>
          </w:p>
        </w:tc>
        <w:tc>
          <w:tcPr>
            <w:tcW w:type="dxa" w:w="2160"/>
          </w:tcPr>
          <w:p>
            <w:r>
              <w:rPr>
                <w:rFonts w:ascii="Calibri" w:hAnsi="Calibri"/>
                <w:sz w:val="22"/>
              </w:rPr>
              <w:t>July 29, 2026</w:t>
            </w:r>
          </w:p>
        </w:tc>
        <w:tc>
          <w:tcPr>
            <w:tcW w:type="dxa" w:w="2160"/>
          </w:tcPr>
          <w:p>
            <w:r>
              <w:rPr>
                <w:rFonts w:ascii="Calibri" w:hAnsi="Calibri"/>
                <w:sz w:val="22"/>
              </w:rPr>
              <w:t>Record Q2 sales +15% YoY despite choppy demand; construction costs down slightly; mortgage buy-downs essential; buyer pool constrained</w:t>
            </w:r>
          </w:p>
        </w:tc>
        <w:tc>
          <w:tcPr>
            <w:tcW w:type="dxa" w:w="2160"/>
          </w:tcPr>
          <w:p>
            <w:r>
              <w:rPr>
                <w:rFonts w:ascii="Calibri" w:hAnsi="Calibri"/>
                <w:b/>
                <w:color w:val="30A46C"/>
                <w:sz w:val="22"/>
              </w:rPr>
              <w:t>Neutral/Positive</w:t>
            </w:r>
          </w:p>
        </w:tc>
      </w:tr>
    </w:tbl>
    <w:p>
      <w:r>
        <w:br w:type="page"/>
      </w:r>
    </w:p>
    <w:p>
      <w:pPr>
        <w:pStyle w:val="Heading2"/>
      </w:pPr>
      <w:r>
        <w:rPr>
          <w:rFonts w:ascii="Calibri" w:hAnsi="Calibri"/>
          <w:b/>
          <w:color w:val="3B4259"/>
          <w:sz w:val="28"/>
        </w:rPr>
        <w:t>7. Material News &amp; Developments</w:t>
      </w:r>
    </w:p>
    <w:p>
      <w:r>
        <w:rPr>
          <w:rFonts w:ascii="Calibri" w:hAnsi="Calibri"/>
          <w:b/>
          <w:color w:val="525866"/>
          <w:sz w:val="22"/>
        </w:rPr>
        <w:t xml:space="preserve">Key Takeaway: </w:t>
      </w:r>
      <w:r>
        <w:rPr>
          <w:rFonts w:ascii="Calibri" w:hAnsi="Calibri"/>
          <w:color w:val="525866"/>
          <w:sz w:val="22"/>
        </w:rPr>
        <w:t>The June 25 Q2 outlook update (8-K) is the most important post-earnings development, confirming a ~$70M lumber pricing tailwind over Q1 while flagging a ~$20M cost headwind from transportation constraints. The broader macro backdrop (Middle East conflict, elevated inflation, soft housing) remains a headwind but is well-telegraphed.</w:t>
      </w:r>
    </w:p>
    <w:p>
      <w:pPr>
        <w:pStyle w:val="ListBullet"/>
        <w:ind w:left="360" w:hanging="360"/>
      </w:pPr>
      <w:r>
        <w:rPr>
          <w:rFonts w:ascii="Calibri" w:hAnsi="Calibri"/>
          <w:b/>
          <w:color w:val="525866"/>
          <w:sz w:val="22"/>
        </w:rPr>
        <w:t xml:space="preserve">June 25, 2026 — WY Q2 2026 Outlook Update (8-K / Investor Presentation): </w:t>
      </w:r>
      <w:r>
        <w:rPr>
          <w:rFonts w:ascii="Calibri" w:hAnsi="Calibri"/>
          <w:color w:val="525866"/>
          <w:sz w:val="22"/>
        </w:rPr>
        <w:t xml:space="preserve">WY posted updated Q2 2026 guidance materials to its investor website. Key updates: (1) Lumber QTD avg +$65/MBF vs. Q1 average, current +$60/MBF vs. Q1 (as of June 19), implying ~$70M incremental Lumber Adj. EBITDA over Q1 from pricing; (2) Wood Products ex-pricing guidance revised ~$20M lower than Q1 due to lower lumber sales volumes and higher unit manufacturing costs from transportation constraints (trucking cost increases, majority passed to customers via delivered pricing); (3) Timberlands and Strategic Land Solutions outlooks unchanged. </w:t>
      </w:r>
    </w:p>
    <w:p>
      <w:pPr>
        <w:pStyle w:val="ListBullet"/>
        <w:ind w:left="360" w:hanging="360"/>
      </w:pPr>
      <w:r>
        <w:rPr>
          <w:rFonts w:ascii="Calibri" w:hAnsi="Calibri"/>
          <w:b/>
          <w:color w:val="525866"/>
          <w:sz w:val="22"/>
        </w:rPr>
        <w:t xml:space="preserve">Implication: </w:t>
      </w:r>
      <w:r>
        <w:rPr>
          <w:rFonts w:ascii="Calibri" w:hAnsi="Calibri"/>
          <w:color w:val="525866"/>
          <w:sz w:val="22"/>
        </w:rPr>
        <w:t>Net positive — the pricing tailwind materially outweighs the cost headwind. Consensus estimates set before this update likely understate Q2 Wood Products EBITDA.</w:t>
      </w:r>
    </w:p>
    <w:p>
      <w:pPr>
        <w:pStyle w:val="ListBullet"/>
        <w:ind w:left="360" w:hanging="360"/>
      </w:pPr>
      <w:r>
        <w:rPr>
          <w:rFonts w:ascii="Calibri" w:hAnsi="Calibri"/>
          <w:b/>
          <w:color w:val="525866"/>
          <w:sz w:val="22"/>
        </w:rPr>
        <w:t xml:space="preserve">May 19, 2026 — REITweek 2026 Investor Conference (Nareit): </w:t>
      </w:r>
      <w:r>
        <w:rPr>
          <w:rFonts w:ascii="Calibri" w:hAnsi="Calibri"/>
          <w:color w:val="525866"/>
          <w:sz w:val="22"/>
        </w:rPr>
        <w:t xml:space="preserve">CEO Devin Stockfish and CFO David Wold represented WY at Nareit’s REITweek conference. CFO Wold had previously confirmed at REITweek that WY trades at a meaningful discount to private timberland transaction values, attributing it to cyclically depressed Wood Products cash flows. The 2030 growth program (targeting $1.5B incremental EBITDA) is the primary structural lever to close the NAV gap alongside share repurchases. </w:t>
      </w:r>
    </w:p>
    <w:p>
      <w:pPr>
        <w:pStyle w:val="ListBullet"/>
        <w:ind w:left="360" w:hanging="360"/>
      </w:pPr>
      <w:r>
        <w:rPr>
          <w:rFonts w:ascii="Calibri" w:hAnsi="Calibri"/>
          <w:b/>
          <w:color w:val="525866"/>
          <w:sz w:val="22"/>
        </w:rPr>
        <w:t xml:space="preserve">Implication: </w:t>
      </w:r>
      <w:r>
        <w:rPr>
          <w:rFonts w:ascii="Calibri" w:hAnsi="Calibri"/>
          <w:color w:val="525866"/>
          <w:sz w:val="22"/>
        </w:rPr>
        <w:t>Management continues to emphasize the NAV discount and long-term value creation story; no new guidance updates were disclosed at this event.</w:t>
      </w:r>
    </w:p>
    <w:p>
      <w:pPr>
        <w:pStyle w:val="ListBullet"/>
        <w:ind w:left="360" w:hanging="360"/>
      </w:pPr>
      <w:r>
        <w:rPr>
          <w:rFonts w:ascii="Calibri" w:hAnsi="Calibri"/>
          <w:b/>
          <w:color w:val="525866"/>
          <w:sz w:val="22"/>
        </w:rPr>
        <w:t xml:space="preserve">Q2 2026 — Middle East Conflict / Inflationary Pressures: </w:t>
      </w:r>
      <w:r>
        <w:rPr>
          <w:rFonts w:ascii="Calibri" w:hAnsi="Calibri"/>
          <w:color w:val="525866"/>
          <w:sz w:val="22"/>
        </w:rPr>
        <w:t xml:space="preserve">The ongoing Middle East conflict (Iran) has driven energy prices sharply higher (gasoline +40% YoY per LEN), increasing transportation costs (trucking), resin prices, and export freight costs. WY flagged this as a gross monthly headwind at Q1 earnings, with the majority being offset. The June 25 8-K confirmed trucking cost increases are being passed to customers via delivered lumber pricing, but the temporary sensitivity adjustment ($10/MBF = ~$43M annualized vs. normal $50M) reflects residual margin compression. </w:t>
      </w:r>
    </w:p>
    <w:p>
      <w:pPr>
        <w:pStyle w:val="ListBullet"/>
        <w:ind w:left="360" w:hanging="360"/>
      </w:pPr>
      <w:r>
        <w:rPr>
          <w:rFonts w:ascii="Calibri" w:hAnsi="Calibri"/>
          <w:b/>
          <w:color w:val="525866"/>
          <w:sz w:val="22"/>
        </w:rPr>
        <w:t xml:space="preserve">Implication: </w:t>
      </w:r>
      <w:r>
        <w:rPr>
          <w:rFonts w:ascii="Calibri" w:hAnsi="Calibri"/>
          <w:color w:val="525866"/>
          <w:sz w:val="22"/>
        </w:rPr>
        <w:t>Inflationary pressures are a known headwind already incorporated into guidance; the key risk is further escalation.</w:t>
      </w:r>
    </w:p>
    <w:p>
      <w:pPr>
        <w:pStyle w:val="ListBullet"/>
        <w:ind w:left="360" w:hanging="360"/>
      </w:pPr>
      <w:r>
        <w:rPr>
          <w:rFonts w:ascii="Calibri" w:hAnsi="Calibri"/>
          <w:b/>
          <w:color w:val="525866"/>
          <w:sz w:val="22"/>
        </w:rPr>
        <w:t xml:space="preserve">Q2 2026 — Canadian Softwood Lumber Duty (AR7 Preliminary Results): </w:t>
      </w:r>
      <w:r>
        <w:rPr>
          <w:rFonts w:ascii="Calibri" w:hAnsi="Calibri"/>
          <w:color w:val="525866"/>
          <w:sz w:val="22"/>
        </w:rPr>
        <w:t xml:space="preserve">AR7 preliminary AD/CVD results indicate the duty component will decline from ~35% to ~24-25% when finalized (expected late summer 2026), bringing the all-in rate (including 10% Section 232) to ~35% from ~45%. Both WY and RYN view this as still highly restrictive and do not expect it to materially reverse Southern Yellow Pine structural share gains. </w:t>
      </w:r>
    </w:p>
    <w:p>
      <w:pPr>
        <w:pStyle w:val="ListBullet"/>
        <w:ind w:left="360" w:hanging="360"/>
      </w:pPr>
      <w:r>
        <w:rPr>
          <w:rFonts w:ascii="Calibri" w:hAnsi="Calibri"/>
          <w:b/>
          <w:color w:val="525866"/>
          <w:sz w:val="22"/>
        </w:rPr>
        <w:t xml:space="preserve">Implication: </w:t>
      </w:r>
      <w:r>
        <w:rPr>
          <w:rFonts w:ascii="Calibri" w:hAnsi="Calibri"/>
          <w:color w:val="525866"/>
          <w:sz w:val="22"/>
        </w:rPr>
        <w:t>Modest risk of increased SPF competition in H2 2026 when finalized, but management views Southern Yellow Pine gains as durable given beetle infestation, Canadian regulatory headwinds, and warp-stable product advantages.</w:t>
      </w:r>
    </w:p>
    <w:p>
      <w:pPr>
        <w:pStyle w:val="ListBullet"/>
        <w:ind w:left="360" w:hanging="360"/>
      </w:pPr>
      <w:r>
        <w:rPr>
          <w:rFonts w:ascii="Calibri" w:hAnsi="Calibri"/>
          <w:b/>
          <w:color w:val="525866"/>
          <w:sz w:val="22"/>
        </w:rPr>
        <w:t xml:space="preserve">Q1 2026 (Completed) — Virginia Timberlands Divestiture &amp; Princeton BC Transfer: </w:t>
      </w:r>
      <w:r>
        <w:rPr>
          <w:rFonts w:ascii="Calibri" w:hAnsi="Calibri"/>
          <w:color w:val="525866"/>
          <w:sz w:val="22"/>
        </w:rPr>
        <w:t xml:space="preserve">WY completed the Virginia timberlands divestiture and received Princeton BC timber license transfer proceeds in Q1 2026, recycling capital toward growth initiatives including the Monticello TimberStrand facility (~$300M CapEx in 2026). </w:t>
      </w:r>
    </w:p>
    <w:p>
      <w:pPr>
        <w:pStyle w:val="ListBullet"/>
        <w:ind w:left="360" w:hanging="360"/>
      </w:pPr>
      <w:r>
        <w:rPr>
          <w:rFonts w:ascii="Calibri" w:hAnsi="Calibri"/>
          <w:b/>
          <w:color w:val="525866"/>
          <w:sz w:val="22"/>
        </w:rPr>
        <w:t xml:space="preserve">Implication: </w:t>
      </w:r>
      <w:r>
        <w:rPr>
          <w:rFonts w:ascii="Calibri" w:hAnsi="Calibri"/>
          <w:color w:val="525866"/>
          <w:sz w:val="22"/>
        </w:rPr>
        <w:t>Capital recycling on track; Monticello remains on schedule for 2027 startup with &gt;$100M annual EBITDA at full ramp.</w:t>
      </w:r>
    </w:p>
    <w:p>
      <w:pPr>
        <w:pStyle w:val="ListBullet"/>
        <w:ind w:left="360" w:hanging="360"/>
      </w:pPr>
      <w:r>
        <w:rPr>
          <w:rFonts w:ascii="Calibri" w:hAnsi="Calibri"/>
          <w:b/>
          <w:color w:val="525866"/>
          <w:sz w:val="22"/>
        </w:rPr>
        <w:t xml:space="preserve">Q2 2026 — Renewables Pipeline Acceleration: </w:t>
      </w:r>
      <w:r>
        <w:rPr>
          <w:rFonts w:ascii="Calibri" w:hAnsi="Calibri"/>
          <w:color w:val="525866"/>
          <w:sz w:val="22"/>
        </w:rPr>
        <w:t xml:space="preserve">WY’s renewables pipeline continues to scale: two solar facilities now operating, three under construction, and a wave of new solar and wind options signed including two new wind agreements. Management expects 3-4 new solar facilities to come online annually. Behind-the-meter power arrangements with renewable energy partners being explored to accelerate data center development timelines. </w:t>
      </w:r>
    </w:p>
    <w:p>
      <w:pPr>
        <w:pStyle w:val="ListBullet"/>
        <w:ind w:left="360" w:hanging="360"/>
      </w:pPr>
      <w:r>
        <w:rPr>
          <w:rFonts w:ascii="Calibri" w:hAnsi="Calibri"/>
          <w:b/>
          <w:color w:val="525866"/>
          <w:sz w:val="22"/>
        </w:rPr>
        <w:t xml:space="preserve">Implication: </w:t>
      </w:r>
      <w:r>
        <w:rPr>
          <w:rFonts w:ascii="Calibri" w:hAnsi="Calibri"/>
          <w:color w:val="525866"/>
          <w:sz w:val="22"/>
        </w:rPr>
        <w:t>Steady contributor to Climate Solutions EBITDA growth toward the $250M 2030 target; data center land sales represent a high-value incremental opportunity.</w:t>
      </w:r>
    </w:p>
    <w:p>
      <w:pPr>
        <w:pStyle w:val="ListBullet"/>
        <w:ind w:left="360" w:hanging="360"/>
      </w:pPr>
      <w:r>
        <w:rPr>
          <w:rFonts w:ascii="Calibri" w:hAnsi="Calibri"/>
          <w:b/>
          <w:color w:val="525866"/>
          <w:sz w:val="22"/>
        </w:rPr>
        <w:t xml:space="preserve">Q2 2026 — Aymium Biocarbon Partnership Progress: </w:t>
      </w:r>
      <w:r>
        <w:rPr>
          <w:rFonts w:ascii="Calibri" w:hAnsi="Calibri"/>
          <w:color w:val="525866"/>
          <w:sz w:val="22"/>
        </w:rPr>
        <w:t xml:space="preserve">Management described the Aymium biocarbon program as “potentially the largest opportunity in the industry in a generation,” targeting a scale of fiber usage that would produce substantial biocarbon as a drop-in replacement for metallurgical coal. Demand driven by carbon taxes on steel and silicon manufacturers in Europe and Japan. Expected to become the largest Climate Solutions contributor by 2030. </w:t>
      </w:r>
    </w:p>
    <w:p>
      <w:pPr>
        <w:pStyle w:val="ListBullet"/>
        <w:ind w:left="360" w:hanging="360"/>
      </w:pPr>
      <w:r>
        <w:rPr>
          <w:rFonts w:ascii="Calibri" w:hAnsi="Calibri"/>
          <w:b/>
          <w:color w:val="525866"/>
          <w:sz w:val="22"/>
        </w:rPr>
        <w:t xml:space="preserve">Implication: </w:t>
      </w:r>
      <w:r>
        <w:rPr>
          <w:rFonts w:ascii="Calibri" w:hAnsi="Calibri"/>
          <w:color w:val="525866"/>
          <w:sz w:val="22"/>
        </w:rPr>
        <w:t>Long-term value driver; not a near-term Q2 earnings catalyst but reinforces the 2030 EBITDA growth narrative.</w:t>
      </w:r>
    </w:p>
    <w:p>
      <w:pPr>
        <w:pStyle w:val="ListBullet"/>
        <w:ind w:left="360" w:hanging="360"/>
      </w:pPr>
      <w:r>
        <w:rPr>
          <w:rFonts w:ascii="Calibri" w:hAnsi="Calibri"/>
          <w:b/>
          <w:color w:val="525866"/>
          <w:sz w:val="22"/>
        </w:rPr>
        <w:t xml:space="preserve">Q2 2026 — Louisiana CCS Project Milestone: </w:t>
      </w:r>
      <w:r>
        <w:rPr>
          <w:rFonts w:ascii="Calibri" w:hAnsi="Calibri"/>
          <w:color w:val="525866"/>
          <w:sz w:val="22"/>
        </w:rPr>
        <w:t xml:space="preserve">Enbridge signed on to build the pipeline for WY’s Louisiana carbon capture and storage (CCS) project with Occidental Petroleum (described as the largest CCS project in North America). This is a meaningful milestone after management had previously noted CCS was taking longer than expected to advance. </w:t>
      </w:r>
    </w:p>
    <w:p>
      <w:pPr>
        <w:pStyle w:val="ListBullet"/>
        <w:ind w:left="360" w:hanging="360"/>
      </w:pPr>
      <w:r>
        <w:rPr>
          <w:rFonts w:ascii="Calibri" w:hAnsi="Calibri"/>
          <w:b/>
          <w:color w:val="525866"/>
          <w:sz w:val="22"/>
        </w:rPr>
        <w:t xml:space="preserve">Implication: </w:t>
      </w:r>
      <w:r>
        <w:rPr>
          <w:rFonts w:ascii="Calibri" w:hAnsi="Calibri"/>
          <w:color w:val="525866"/>
          <w:sz w:val="22"/>
        </w:rPr>
        <w:t>Positive for Climate Solutions credibility and the path to $250M 2030 EBITDA target.</w:t>
      </w:r>
    </w:p>
    <w:p>
      <w:pPr>
        <w:pStyle w:val="ListBullet"/>
        <w:ind w:left="360" w:hanging="360"/>
      </w:pPr>
      <w:r>
        <w:rPr>
          <w:rFonts w:ascii="Calibri" w:hAnsi="Calibri"/>
          <w:b/>
          <w:color w:val="525866"/>
          <w:sz w:val="22"/>
        </w:rPr>
        <w:t xml:space="preserve">Q2 2026 — Southern Log Export Program Scaling: </w:t>
      </w:r>
      <w:r>
        <w:rPr>
          <w:rFonts w:ascii="Calibri" w:hAnsi="Calibri"/>
          <w:color w:val="525866"/>
          <w:sz w:val="22"/>
        </w:rPr>
        <w:t xml:space="preserve">WY’s southern log export program is gaining traction, particularly in India, with Breakbulk cost reduction opportunities identified. Export volumes doubled from 2024 to 2025 with a target to double again in 2026, creating additional market tensioning in Southern wood baskets. </w:t>
      </w:r>
    </w:p>
    <w:p>
      <w:pPr>
        <w:pStyle w:val="ListBullet"/>
        <w:ind w:left="360" w:hanging="360"/>
      </w:pPr>
      <w:r>
        <w:rPr>
          <w:rFonts w:ascii="Calibri" w:hAnsi="Calibri"/>
          <w:b/>
          <w:color w:val="525866"/>
          <w:sz w:val="22"/>
        </w:rPr>
        <w:t xml:space="preserve">Implication: </w:t>
      </w:r>
      <w:r>
        <w:rPr>
          <w:rFonts w:ascii="Calibri" w:hAnsi="Calibri"/>
          <w:color w:val="525866"/>
          <w:sz w:val="22"/>
        </w:rPr>
        <w:t>Positive for Southern Timberlands pricing and volume optionality; incremental EBITDA contributor.</w:t>
      </w:r>
    </w:p>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No open-market buys or discretionary sells by executives since Q1 2026 earnings. All insider activity consists of routine annual equity award grants to directors (Form 4 code ‘A’) and tax withholding share forfeitures (Form 4 code ‘F’) — neither is a directional signal. The absence of any open-market purchases or discretionary sales is neutral.</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Shares</w:t>
            </w:r>
          </w:p>
        </w:tc>
        <w:tc>
          <w:tcPr>
            <w:tcW w:type="dxa" w:w="1440"/>
            <w:shd w:val="clear" w:color="auto" w:fill="3B4259"/>
          </w:tcPr>
          <w:p>
            <w:r>
              <w:rPr>
                <w:rFonts w:ascii="Calibri" w:hAnsi="Calibri"/>
                <w:b/>
                <w:color w:val="FFFFFF"/>
                <w:sz w:val="22"/>
              </w:rPr>
              <w:t>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Chaney, Brian K.</w:t>
            </w:r>
          </w:p>
        </w:tc>
        <w:tc>
          <w:tcPr>
            <w:tcW w:type="dxa" w:w="1440"/>
          </w:tcPr>
          <w:p>
            <w:r>
              <w:rPr>
                <w:rFonts w:ascii="Calibri" w:hAnsi="Calibri"/>
                <w:sz w:val="22"/>
              </w:rPr>
              <w:t>Senior Vice President</w:t>
            </w:r>
          </w:p>
        </w:tc>
        <w:tc>
          <w:tcPr>
            <w:tcW w:type="dxa" w:w="1440"/>
          </w:tcPr>
          <w:p>
            <w:r>
              <w:rPr>
                <w:rFonts w:ascii="Calibri" w:hAnsi="Calibri"/>
                <w:sz w:val="22"/>
              </w:rPr>
              <w:t>Share Forfeiture (F)</w:t>
            </w:r>
          </w:p>
        </w:tc>
        <w:tc>
          <w:tcPr>
            <w:tcW w:type="dxa" w:w="1440"/>
          </w:tcPr>
          <w:p>
            <w:r>
              <w:rPr>
                <w:rFonts w:ascii="Calibri" w:hAnsi="Calibri"/>
                <w:sz w:val="22"/>
              </w:rPr>
              <w:t>3,491</w:t>
            </w:r>
          </w:p>
        </w:tc>
        <w:tc>
          <w:tcPr>
            <w:tcW w:type="dxa" w:w="1440"/>
          </w:tcPr>
          <w:p>
            <w:r>
              <w:rPr>
                <w:rFonts w:ascii="Calibri" w:hAnsi="Calibri"/>
                <w:sz w:val="22"/>
              </w:rPr>
              <w:t>June 3, 2026</w:t>
            </w:r>
          </w:p>
        </w:tc>
        <w:tc>
          <w:tcPr>
            <w:tcW w:type="dxa" w:w="1440"/>
          </w:tcPr>
          <w:p>
            <w:r>
              <w:rPr>
                <w:rFonts w:ascii="Calibri" w:hAnsi="Calibri"/>
                <w:sz w:val="22"/>
              </w:rPr>
              <w:t>Tax withholding on vesting; not a discretionary sale</w:t>
            </w:r>
          </w:p>
        </w:tc>
      </w:tr>
      <w:tr>
        <w:tc>
          <w:tcPr>
            <w:tcW w:type="dxa" w:w="1440"/>
          </w:tcPr>
          <w:p>
            <w:r>
              <w:rPr>
                <w:rFonts w:ascii="Calibri" w:hAnsi="Calibri"/>
                <w:sz w:val="22"/>
              </w:rPr>
              <w:t>Wold, David M.</w:t>
            </w:r>
          </w:p>
        </w:tc>
        <w:tc>
          <w:tcPr>
            <w:tcW w:type="dxa" w:w="1440"/>
          </w:tcPr>
          <w:p>
            <w:r>
              <w:rPr>
                <w:rFonts w:ascii="Calibri" w:hAnsi="Calibri"/>
                <w:sz w:val="22"/>
              </w:rPr>
              <w:t>Senior VP &amp; CFO</w:t>
            </w:r>
          </w:p>
        </w:tc>
        <w:tc>
          <w:tcPr>
            <w:tcW w:type="dxa" w:w="1440"/>
          </w:tcPr>
          <w:p>
            <w:r>
              <w:rPr>
                <w:rFonts w:ascii="Calibri" w:hAnsi="Calibri"/>
                <w:sz w:val="22"/>
              </w:rPr>
              <w:t>Share Forfeiture (F) — 10b5-1</w:t>
            </w:r>
          </w:p>
        </w:tc>
        <w:tc>
          <w:tcPr>
            <w:tcW w:type="dxa" w:w="1440"/>
          </w:tcPr>
          <w:p>
            <w:r>
              <w:rPr>
                <w:rFonts w:ascii="Calibri" w:hAnsi="Calibri"/>
                <w:sz w:val="22"/>
              </w:rPr>
              <w:t>1,062</w:t>
            </w:r>
          </w:p>
        </w:tc>
        <w:tc>
          <w:tcPr>
            <w:tcW w:type="dxa" w:w="1440"/>
          </w:tcPr>
          <w:p>
            <w:r>
              <w:rPr>
                <w:rFonts w:ascii="Calibri" w:hAnsi="Calibri"/>
                <w:sz w:val="22"/>
              </w:rPr>
              <w:t>May 16, 2026</w:t>
            </w:r>
          </w:p>
        </w:tc>
        <w:tc>
          <w:tcPr>
            <w:tcW w:type="dxa" w:w="1440"/>
          </w:tcPr>
          <w:p>
            <w:r>
              <w:rPr>
                <w:rFonts w:ascii="Calibri" w:hAnsi="Calibri"/>
                <w:sz w:val="22"/>
              </w:rPr>
              <w:t>10b5-1 plan; tax withholding on vesting; not a discretionary sale</w:t>
            </w:r>
          </w:p>
        </w:tc>
      </w:tr>
      <w:tr>
        <w:tc>
          <w:tcPr>
            <w:tcW w:type="dxa" w:w="1440"/>
          </w:tcPr>
          <w:p>
            <w:r>
              <w:rPr>
                <w:rFonts w:ascii="Calibri" w:hAnsi="Calibri"/>
                <w:sz w:val="22"/>
              </w:rPr>
              <w:t>Beckwitt, Richard</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Emmert, Mark A.</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Holley, Rick R.</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11,531</w:t>
            </w:r>
          </w:p>
        </w:tc>
        <w:tc>
          <w:tcPr>
            <w:tcW w:type="dxa" w:w="1440"/>
          </w:tcPr>
          <w:p>
            <w:r>
              <w:rPr>
                <w:rFonts w:ascii="Calibri" w:hAnsi="Calibri"/>
                <w:sz w:val="22"/>
              </w:rPr>
              <w:t>May 15, 2026</w:t>
            </w:r>
          </w:p>
        </w:tc>
        <w:tc>
          <w:tcPr>
            <w:tcW w:type="dxa" w:w="1440"/>
          </w:tcPr>
          <w:p>
            <w:r>
              <w:rPr>
                <w:rFonts w:ascii="Calibri" w:hAnsi="Calibri"/>
                <w:sz w:val="22"/>
              </w:rPr>
              <w:t>Routine annual director equity grant (share equivalents); not a market purchase</w:t>
            </w:r>
          </w:p>
        </w:tc>
      </w:tr>
      <w:tr>
        <w:tc>
          <w:tcPr>
            <w:tcW w:type="dxa" w:w="1440"/>
          </w:tcPr>
          <w:p>
            <w:r>
              <w:rPr>
                <w:rFonts w:ascii="Calibri" w:hAnsi="Calibri"/>
                <w:sz w:val="22"/>
              </w:rPr>
              <w:t>Lewis, Sara Grootwassink</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(share equivalents); not a market purchase</w:t>
            </w:r>
          </w:p>
        </w:tc>
      </w:tr>
      <w:tr>
        <w:tc>
          <w:tcPr>
            <w:tcW w:type="dxa" w:w="1440"/>
          </w:tcPr>
          <w:p>
            <w:r>
              <w:rPr>
                <w:rFonts w:ascii="Calibri" w:hAnsi="Calibri"/>
                <w:sz w:val="22"/>
              </w:rPr>
              <w:t>Merriwether, Deidra C.</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(share equivalents); not a market purchase</w:t>
            </w:r>
          </w:p>
        </w:tc>
      </w:tr>
      <w:tr>
        <w:tc>
          <w:tcPr>
            <w:tcW w:type="dxa" w:w="1440"/>
          </w:tcPr>
          <w:p>
            <w:r>
              <w:rPr>
                <w:rFonts w:ascii="Calibri" w:hAnsi="Calibri"/>
                <w:sz w:val="22"/>
              </w:rPr>
              <w:t>Monaco, Albert</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11,613</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O’Rourke, James Calvin</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12,758</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Selzer, Lawrence A.</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Williams, Kim</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Piasecki, Nicole Weyerhaeuser</w:t>
            </w:r>
          </w:p>
        </w:tc>
        <w:tc>
          <w:tcPr>
            <w:tcW w:type="dxa" w:w="1440"/>
          </w:tcPr>
          <w:p>
            <w:r>
              <w:rPr>
                <w:rFonts w:ascii="Calibri" w:hAnsi="Calibri"/>
                <w:sz w:val="22"/>
              </w:rPr>
              <w:t>Director</w:t>
            </w:r>
          </w:p>
        </w:tc>
        <w:tc>
          <w:tcPr>
            <w:tcW w:type="dxa" w:w="1440"/>
          </w:tcPr>
          <w:p>
            <w:r>
              <w:rPr>
                <w:rFonts w:ascii="Calibri" w:hAnsi="Calibri"/>
                <w:sz w:val="22"/>
              </w:rPr>
              <w:t>Annual Equity Award (A)</w:t>
            </w:r>
          </w:p>
        </w:tc>
        <w:tc>
          <w:tcPr>
            <w:tcW w:type="dxa" w:w="1440"/>
          </w:tcPr>
          <w:p>
            <w:r>
              <w:rPr>
                <w:rFonts w:ascii="Calibri" w:hAnsi="Calibri"/>
                <w:sz w:val="22"/>
              </w:rPr>
              <w:t>7,832</w:t>
            </w:r>
          </w:p>
        </w:tc>
        <w:tc>
          <w:tcPr>
            <w:tcW w:type="dxa" w:w="1440"/>
          </w:tcPr>
          <w:p>
            <w:r>
              <w:rPr>
                <w:rFonts w:ascii="Calibri" w:hAnsi="Calibri"/>
                <w:sz w:val="22"/>
              </w:rPr>
              <w:t>May 15, 2026</w:t>
            </w:r>
          </w:p>
        </w:tc>
        <w:tc>
          <w:tcPr>
            <w:tcW w:type="dxa" w:w="1440"/>
          </w:tcPr>
          <w:p>
            <w:r>
              <w:rPr>
                <w:rFonts w:ascii="Calibri" w:hAnsi="Calibri"/>
                <w:sz w:val="22"/>
              </w:rPr>
              <w:t>Routine annual director equity grant; not a market purchase</w:t>
            </w:r>
          </w:p>
        </w:tc>
      </w:tr>
      <w:tr>
        <w:tc>
          <w:tcPr>
            <w:tcW w:type="dxa" w:w="1440"/>
          </w:tcPr>
          <w:p>
            <w:r>
              <w:rPr>
                <w:rFonts w:ascii="Calibri" w:hAnsi="Calibri"/>
                <w:sz w:val="22"/>
              </w:rPr>
              <w:t>Beckwitt, Richard</w:t>
            </w:r>
          </w:p>
        </w:tc>
        <w:tc>
          <w:tcPr>
            <w:tcW w:type="dxa" w:w="1440"/>
          </w:tcPr>
          <w:p>
            <w:r>
              <w:rPr>
                <w:rFonts w:ascii="Calibri" w:hAnsi="Calibri"/>
                <w:sz w:val="22"/>
              </w:rPr>
              <w:t>Director</w:t>
            </w:r>
          </w:p>
        </w:tc>
        <w:tc>
          <w:tcPr>
            <w:tcW w:type="dxa" w:w="1440"/>
          </w:tcPr>
          <w:p>
            <w:r>
              <w:rPr>
                <w:rFonts w:ascii="Calibri" w:hAnsi="Calibri"/>
                <w:sz w:val="22"/>
              </w:rPr>
              <w:t>Share Forfeiture (F)</w:t>
            </w:r>
          </w:p>
        </w:tc>
        <w:tc>
          <w:tcPr>
            <w:tcW w:type="dxa" w:w="1440"/>
          </w:tcPr>
          <w:p>
            <w:r>
              <w:rPr>
                <w:rFonts w:ascii="Calibri" w:hAnsi="Calibri"/>
                <w:sz w:val="22"/>
              </w:rPr>
              <w:t>61</w:t>
            </w:r>
          </w:p>
        </w:tc>
        <w:tc>
          <w:tcPr>
            <w:tcW w:type="dxa" w:w="1440"/>
          </w:tcPr>
          <w:p>
            <w:r>
              <w:rPr>
                <w:rFonts w:ascii="Calibri" w:hAnsi="Calibri"/>
                <w:sz w:val="22"/>
              </w:rPr>
              <w:t>May 9, 2026</w:t>
            </w:r>
          </w:p>
        </w:tc>
        <w:tc>
          <w:tcPr>
            <w:tcW w:type="dxa" w:w="1440"/>
          </w:tcPr>
          <w:p>
            <w:r>
              <w:rPr>
                <w:rFonts w:ascii="Calibri" w:hAnsi="Calibri"/>
                <w:sz w:val="22"/>
              </w:rPr>
              <w:t>Tax withholding on vesting; not a discretionary sale</w:t>
            </w:r>
          </w:p>
        </w:tc>
      </w:tr>
      <w:tr>
        <w:tc>
          <w:tcPr>
            <w:tcW w:type="dxa" w:w="1440"/>
          </w:tcPr>
          <w:p>
            <w:r>
              <w:rPr>
                <w:rFonts w:ascii="Calibri" w:hAnsi="Calibri"/>
                <w:sz w:val="22"/>
              </w:rPr>
              <w:t>Monaco, Albert</w:t>
            </w:r>
          </w:p>
        </w:tc>
        <w:tc>
          <w:tcPr>
            <w:tcW w:type="dxa" w:w="1440"/>
          </w:tcPr>
          <w:p>
            <w:r>
              <w:rPr>
                <w:rFonts w:ascii="Calibri" w:hAnsi="Calibri"/>
                <w:sz w:val="22"/>
              </w:rPr>
              <w:t>Director</w:t>
            </w:r>
          </w:p>
        </w:tc>
        <w:tc>
          <w:tcPr>
            <w:tcW w:type="dxa" w:w="1440"/>
          </w:tcPr>
          <w:p>
            <w:r>
              <w:rPr>
                <w:rFonts w:ascii="Calibri" w:hAnsi="Calibri"/>
                <w:sz w:val="22"/>
              </w:rPr>
              <w:t>Share Forfeiture (F) — 10b5-1</w:t>
            </w:r>
          </w:p>
        </w:tc>
        <w:tc>
          <w:tcPr>
            <w:tcW w:type="dxa" w:w="1440"/>
          </w:tcPr>
          <w:p>
            <w:r>
              <w:rPr>
                <w:rFonts w:ascii="Calibri" w:hAnsi="Calibri"/>
                <w:sz w:val="22"/>
              </w:rPr>
              <w:t>2,386</w:t>
            </w:r>
          </w:p>
        </w:tc>
        <w:tc>
          <w:tcPr>
            <w:tcW w:type="dxa" w:w="1440"/>
          </w:tcPr>
          <w:p>
            <w:r>
              <w:rPr>
                <w:rFonts w:ascii="Calibri" w:hAnsi="Calibri"/>
                <w:sz w:val="22"/>
              </w:rPr>
              <w:t>May 9, 2026</w:t>
            </w:r>
          </w:p>
        </w:tc>
        <w:tc>
          <w:tcPr>
            <w:tcW w:type="dxa" w:w="1440"/>
          </w:tcPr>
          <w:p>
            <w:r>
              <w:rPr>
                <w:rFonts w:ascii="Calibri" w:hAnsi="Calibri"/>
                <w:sz w:val="22"/>
              </w:rPr>
              <w:t>10b5-1 plan; tax withholding on vesting; not a discretionary sale</w:t>
            </w:r>
          </w:p>
        </w:tc>
      </w:tr>
    </w:tbl>
    <w:p>
      <w:r>
        <w:rPr>
          <w:rFonts w:ascii="Calibri" w:hAnsi="Calibri"/>
          <w:i/>
          <w:color w:val="525866"/>
          <w:sz w:val="22"/>
        </w:rPr>
        <w:t>Source: SEC Form 4 filings (Insider Transaction Data). All transactions since Q1 2026 earnings (April 30, 2026). Transaction codes: A = Award/Grant (not an open-market purchase); F = Share forfeiture for tax withholding (not a discretionary sale). No open-market buys (code P) or discretionary open-market sells (code S) were filed by any WY insider in the post-earnings period. The cluster of director equity awards on May 15 reflects the routine annual board compensation cycle and carries no directional signal.</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