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wy-earnings-predictions--2026-07-30"/>
    <w:p>
      <w:pPr>
        <w:pStyle w:val="Heading1"/>
      </w:pPr>
      <w:r>
        <w:t xml:space="preserve">WY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Operating EPS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~$0.080 vs. cons $0.087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Wood Products adjusted EBITDA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~$125M vs. cons $129M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Lumber realization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~$505/MBF vs. cons $499.75/MBF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Wood Products adjusted EBITDA (Q3 2026)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~$120M vs. cons $132M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Strategic Land Solutions adjusted EBITDA (FY 2026)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~$425M vs. cons $425M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Lumber/OSB demand and cost commentary (Q3 2026)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stable lumber, but soft OSB and elevated costs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-3.5%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-5.0% (FOLLOW-THROUGH)</w:t>
            </w:r>
          </w:p>
        </w:tc>
        <w:tc>
          <w:tcPr/>
          <w:p>
            <w:pPr>
              <w:pStyle w:val="Compact"/>
            </w:pPr>
            <w:r>
              <w:t xml:space="preserve">FOLLOW-THROUGH — forward Wood Products estimate cuts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2026-08-02T02:02:14Z</dcterms:created>
  <dcterms:modified xsi:type="dcterms:W3CDTF">2026-08-02T02:02:14Z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