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Bdr>
          <w:bottom w:val="single" w:sz="4" w:space="1" w:color="FB9120"/>
        </w:pBdr>
      </w:pPr>
      <w:r>
        <w:rPr>
          <w:rFonts w:ascii="Calibri" w:hAnsi="Calibri"/>
          <w:b/>
          <w:color w:val="3B4259"/>
          <w:sz w:val="40"/>
        </w:rPr>
        <w:t>Weyerhaeuser Company (WY) — Q2 2026 Earnings Preview</w:t>
      </w:r>
    </w:p>
    <w:tbl>
      <w:tblPr>
        <w:tblStyle w:val="TableGrid"/>
        <w:tblW w:type="auto" w:w="0"/>
        <w:tblLook w:firstColumn="1" w:firstRow="1" w:lastColumn="0" w:lastRow="0" w:noHBand="0" w:noVBand="1" w:val="04A0"/>
      </w:tblPr>
      <w:tblGrid>
        <w:gridCol w:w="4320"/>
        <w:gridCol w:w="4320"/>
      </w:tblGrid>
      <w:tr>
        <w:tc>
          <w:tcPr>
            <w:tcW w:type="dxa" w:w="4320"/>
          </w:tcPr>
          <w:p>
            <w:r>
              <w:rPr>
                <w:rFonts w:ascii="Calibri" w:hAnsi="Calibri"/>
                <w:b/>
                <w:sz w:val="22"/>
              </w:rPr>
              <w:t>Company</w:t>
            </w:r>
          </w:p>
        </w:tc>
        <w:tc>
          <w:tcPr>
            <w:tcW w:type="dxa" w:w="4320"/>
          </w:tcPr>
          <w:p>
            <w:r>
              <w:rPr>
                <w:rFonts w:ascii="Calibri" w:hAnsi="Calibri"/>
                <w:sz w:val="22"/>
              </w:rPr>
              <w:t>Weyerhaeuser Company</w:t>
            </w:r>
          </w:p>
        </w:tc>
      </w:tr>
      <w:tr>
        <w:tc>
          <w:tcPr>
            <w:tcW w:type="dxa" w:w="4320"/>
          </w:tcPr>
          <w:p>
            <w:r>
              <w:rPr>
                <w:rFonts w:ascii="Calibri" w:hAnsi="Calibri"/>
                <w:b/>
                <w:sz w:val="22"/>
              </w:rPr>
              <w:t>Ticker</w:t>
            </w:r>
          </w:p>
        </w:tc>
        <w:tc>
          <w:tcPr>
            <w:tcW w:type="dxa" w:w="4320"/>
          </w:tcPr>
          <w:p>
            <w:r>
              <w:rPr>
                <w:rFonts w:ascii="Calibri" w:hAnsi="Calibri"/>
                <w:sz w:val="22"/>
              </w:rPr>
              <w:t>WY (NYSE)</w:t>
            </w:r>
          </w:p>
        </w:tc>
      </w:tr>
      <w:tr>
        <w:tc>
          <w:tcPr>
            <w:tcW w:type="dxa" w:w="4320"/>
          </w:tcPr>
          <w:p>
            <w:r>
              <w:rPr>
                <w:rFonts w:ascii="Calibri" w:hAnsi="Calibri"/>
                <w:b/>
                <w:sz w:val="22"/>
              </w:rPr>
              <w:t>Reporting Period</w:t>
            </w:r>
          </w:p>
        </w:tc>
        <w:tc>
          <w:tcPr>
            <w:tcW w:type="dxa" w:w="4320"/>
          </w:tcPr>
          <w:p>
            <w:r>
              <w:rPr>
                <w:rFonts w:ascii="Calibri" w:hAnsi="Calibri"/>
                <w:sz w:val="22"/>
              </w:rPr>
              <w:t>Q2 2026 (quarter ended June 30, 2026)</w:t>
            </w:r>
          </w:p>
        </w:tc>
      </w:tr>
      <w:tr>
        <w:tc>
          <w:tcPr>
            <w:tcW w:type="dxa" w:w="4320"/>
          </w:tcPr>
          <w:p>
            <w:r>
              <w:rPr>
                <w:rFonts w:ascii="Calibri" w:hAnsi="Calibri"/>
                <w:b/>
                <w:sz w:val="22"/>
              </w:rPr>
              <w:t>Earnings Release Date</w:t>
            </w:r>
          </w:p>
        </w:tc>
        <w:tc>
          <w:tcPr>
            <w:tcW w:type="dxa" w:w="4320"/>
          </w:tcPr>
          <w:p>
            <w:r>
              <w:rPr>
                <w:rFonts w:ascii="Calibri" w:hAnsi="Calibri"/>
                <w:sz w:val="22"/>
              </w:rPr>
              <w:t>July 30, 2026</w:t>
            </w:r>
          </w:p>
        </w:tc>
      </w:tr>
      <w:tr>
        <w:tc>
          <w:tcPr>
            <w:tcW w:type="dxa" w:w="4320"/>
          </w:tcPr>
          <w:p>
            <w:r>
              <w:rPr>
                <w:rFonts w:ascii="Calibri" w:hAnsi="Calibri"/>
                <w:b/>
                <w:sz w:val="22"/>
              </w:rPr>
              <w:t>Earnings Call Date</w:t>
            </w:r>
          </w:p>
        </w:tc>
        <w:tc>
          <w:tcPr>
            <w:tcW w:type="dxa" w:w="4320"/>
          </w:tcPr>
          <w:p>
            <w:r>
              <w:rPr>
                <w:rFonts w:ascii="Calibri" w:hAnsi="Calibri"/>
                <w:sz w:val="22"/>
              </w:rPr>
              <w:t>July 31, 2026 — 10:00 AM ET</w:t>
            </w:r>
          </w:p>
        </w:tc>
      </w:tr>
      <w:tr>
        <w:tc>
          <w:tcPr>
            <w:tcW w:type="dxa" w:w="4320"/>
          </w:tcPr>
          <w:p>
            <w:r>
              <w:rPr>
                <w:rFonts w:ascii="Calibri" w:hAnsi="Calibri"/>
                <w:b/>
                <w:sz w:val="22"/>
              </w:rPr>
              <w:t>Last Earnings Date</w:t>
            </w:r>
          </w:p>
        </w:tc>
        <w:tc>
          <w:tcPr>
            <w:tcW w:type="dxa" w:w="4320"/>
          </w:tcPr>
          <w:p>
            <w:r>
              <w:rPr>
                <w:rFonts w:ascii="Calibri" w:hAnsi="Calibri"/>
                <w:sz w:val="22"/>
              </w:rPr>
              <w:t>April 30, 2026 (Q1 2026)</w:t>
            </w:r>
          </w:p>
        </w:tc>
      </w:tr>
      <w:tr>
        <w:tc>
          <w:tcPr>
            <w:tcW w:type="dxa" w:w="4320"/>
          </w:tcPr>
          <w:p>
            <w:r>
              <w:rPr>
                <w:rFonts w:ascii="Calibri" w:hAnsi="Calibri"/>
                <w:b/>
                <w:sz w:val="22"/>
              </w:rPr>
              <w:t>Prepared</w:t>
            </w:r>
          </w:p>
        </w:tc>
        <w:tc>
          <w:tcPr>
            <w:tcW w:type="dxa" w:w="4320"/>
          </w:tcPr>
          <w:p>
            <w:r>
              <w:rPr>
                <w:rFonts w:ascii="Calibri" w:hAnsi="Calibri"/>
                <w:sz w:val="22"/>
              </w:rPr>
              <w:t>July 29, 2026</w:t>
            </w:r>
          </w:p>
        </w:tc>
      </w:tr>
      <w:tr>
        <w:tc>
          <w:tcPr>
            <w:tcW w:type="dxa" w:w="4320"/>
          </w:tcPr>
          <w:p>
            <w:r>
              <w:rPr>
                <w:rFonts w:ascii="Calibri" w:hAnsi="Calibri"/>
                <w:b/>
                <w:sz w:val="22"/>
              </w:rPr>
              <w:t>Sector / Structure</w:t>
            </w:r>
          </w:p>
        </w:tc>
        <w:tc>
          <w:tcPr>
            <w:tcW w:type="dxa" w:w="4320"/>
          </w:tcPr>
          <w:p>
            <w:r>
              <w:rPr>
                <w:rFonts w:ascii="Calibri" w:hAnsi="Calibri"/>
                <w:sz w:val="22"/>
              </w:rPr>
              <w:t>Timber REIT / Wood Products Manufacturing</w:t>
            </w:r>
          </w:p>
        </w:tc>
      </w:tr>
    </w:tbl>
    <w:p>
      <w:pPr>
        <w:pStyle w:val="Heading2"/>
      </w:pPr>
      <w:r>
        <w:rPr>
          <w:rFonts w:ascii="Calibri" w:hAnsi="Calibri"/>
          <w:b/>
          <w:color w:val="3B4259"/>
          <w:sz w:val="28"/>
        </w:rPr>
        <w:t>1. Earnings Preview</w:t>
      </w:r>
    </w:p>
    <w:p>
      <w:r>
        <w:rPr>
          <w:rFonts w:ascii="Calibri" w:hAnsi="Calibri"/>
          <w:b/>
          <w:color w:val="525866"/>
          <w:sz w:val="22"/>
        </w:rPr>
        <w:t xml:space="preserve">Key Takeaway: </w:t>
      </w:r>
      <w:r>
        <w:rPr>
          <w:rFonts w:ascii="Calibri" w:hAnsi="Calibri"/>
          <w:color w:val="525866"/>
          <w:sz w:val="22"/>
        </w:rPr>
        <w:t xml:space="preserve">The setup is modestly constructive but not a clean beat — </w:t>
      </w:r>
      <w:r>
        <w:rPr>
          <w:rFonts w:ascii="Calibri" w:hAnsi="Calibri"/>
          <w:b/>
          <w:color w:val="525866"/>
          <w:sz w:val="22"/>
        </w:rPr>
        <w:t>lumber pricing is the single biggest swing factor</w:t>
      </w:r>
      <w:r>
        <w:rPr>
          <w:rFonts w:ascii="Calibri" w:hAnsi="Calibri"/>
          <w:color w:val="525866"/>
          <w:sz w:val="22"/>
        </w:rPr>
        <w:t>, running ~$60–65/MBF above Q1 average quarter-to-date per WY’s own June 25 update, which should drive a meaningful Wood Products EBITDA step-up, but a June 25 guidance revision flagged lower-than-expected lumber volumes and higher unit costs from transportation constraints, partially offsetting the price tailwind.</w:t>
      </w:r>
    </w:p>
    <w:p>
      <w:r>
        <w:rPr>
          <w:rFonts w:ascii="Calibri" w:hAnsi="Calibri"/>
          <w:color w:val="525866"/>
          <w:sz w:val="22"/>
        </w:rPr>
        <w:t xml:space="preserve">Heading into Q2 2026 results, the bar for Weyerhaeuser is a modest one: consensus Adjusted EBITDA sits at ~$297 million, well below the $308 million Q1 2026 actual, reflecting the expected ~$70 million sequential decline in Strategic Land Solutions (SLS) from the absence of the large Q1 Florida conservation easement, partially offset by a Wood Products step-up driven by lumber pricing. Management’s own June 25 investor presentation quantified the lumber price tailwind at approximately </w:t>
      </w:r>
      <w:r>
        <w:rPr>
          <w:rFonts w:ascii="Calibri" w:hAnsi="Calibri"/>
          <w:b/>
          <w:color w:val="525866"/>
          <w:sz w:val="22"/>
        </w:rPr>
        <w:t>+$70 million in Lumber Adjusted EBITDA over Q1</w:t>
      </w:r>
      <w:r>
        <w:rPr>
          <w:rFonts w:ascii="Calibri" w:hAnsi="Calibri"/>
          <w:color w:val="525866"/>
          <w:sz w:val="22"/>
        </w:rPr>
        <w:t xml:space="preserve"> (based on QTD realizations ~$65/MBF above Q1 average), but simultaneously revised Wood Products guidance down by ~$20 million versus Q1 (ex-pricing) due to </w:t>
      </w:r>
      <w:r>
        <w:rPr>
          <w:rFonts w:ascii="Calibri" w:hAnsi="Calibri"/>
          <w:b/>
          <w:color w:val="525866"/>
          <w:sz w:val="22"/>
        </w:rPr>
        <w:t>lower lumber sales volumes and higher unit manufacturing costs from transportation constraints</w:t>
      </w:r>
      <w:r>
        <w:rPr>
          <w:rFonts w:ascii="Calibri" w:hAnsi="Calibri"/>
          <w:color w:val="525866"/>
          <w:sz w:val="22"/>
        </w:rPr>
        <w:t xml:space="preserve"> in the U.S. South — a dynamic also flagged by West Fraser (WFG) and UFP Industries (UFPI) in their own Q2 results. Estimate revisions have drifted lower since Q1 earnings (consensus operating EPS fell from ~$0.109 to ~$0.082), suggesting the Street has already partially de-risked the volume/cost headwinds, leaving the bar achievable if lumber pricing holds. The stock is down ~0.3% since last earnings vs. ITB up ~0.2% and SPY up ~1.5%, implying no meaningful beat is priced in. The key wildcard is </w:t>
      </w:r>
      <w:r>
        <w:rPr>
          <w:rFonts w:ascii="Calibri" w:hAnsi="Calibri"/>
          <w:b/>
          <w:color w:val="525866"/>
          <w:sz w:val="22"/>
        </w:rPr>
        <w:t>OSB pricing</w:t>
      </w:r>
      <w:r>
        <w:rPr>
          <w:rFonts w:ascii="Calibri" w:hAnsi="Calibri"/>
          <w:color w:val="525866"/>
          <w:sz w:val="22"/>
        </w:rPr>
        <w:t>: West Fraser’s Q2 results showed OSB pricing declined sequentially and LPX’s OSB segment was near breakeven — if WY’s OSB realizations disappoint relative to the modest consensus assumption, Wood Products EBITDA could fall short even with strong lumber numbers.</w:t>
      </w:r>
    </w:p>
    <w:p>
      <w:r>
        <w:br w:type="page"/>
      </w:r>
    </w:p>
    <w:p>
      <w:pPr>
        <w:pStyle w:val="Heading2"/>
      </w:pPr>
      <w:r>
        <w:rPr>
          <w:rFonts w:ascii="Calibri" w:hAnsi="Calibri"/>
          <w:b/>
          <w:color w:val="3B4259"/>
          <w:sz w:val="28"/>
        </w:rPr>
        <w:t>2. KPIs &amp; Consensus Expectations</w:t>
      </w:r>
    </w:p>
    <w:p>
      <w:r>
        <w:rPr>
          <w:rFonts w:ascii="Calibri" w:hAnsi="Calibri"/>
          <w:b/>
          <w:color w:val="525866"/>
          <w:sz w:val="22"/>
        </w:rPr>
        <w:t xml:space="preserve">Key Takeaway: </w:t>
      </w:r>
      <w:r>
        <w:rPr>
          <w:rFonts w:ascii="Calibri" w:hAnsi="Calibri"/>
          <w:color w:val="525866"/>
          <w:sz w:val="22"/>
        </w:rPr>
        <w:t xml:space="preserve">Consensus is a </w:t>
      </w:r>
      <w:r>
        <w:rPr>
          <w:rFonts w:ascii="Calibri" w:hAnsi="Calibri"/>
          <w:b/>
          <w:color w:val="525866"/>
          <w:sz w:val="22"/>
        </w:rPr>
        <w:t>low-to-moderate bar</w:t>
      </w:r>
      <w:r>
        <w:rPr>
          <w:rFonts w:ascii="Calibri" w:hAnsi="Calibri"/>
          <w:color w:val="525866"/>
          <w:sz w:val="22"/>
        </w:rPr>
        <w:t xml:space="preserve"> — the Street has already baked in a sequential SLS decline and only modest Wood Products improvement. </w:t>
      </w:r>
      <w:r>
        <w:rPr>
          <w:rFonts w:ascii="Calibri" w:hAnsi="Calibri"/>
          <w:b/>
          <w:color w:val="525866"/>
          <w:sz w:val="22"/>
        </w:rPr>
        <w:t>Lumber realization vs. consensus ($500.61/MBF) is the biggest swing factor</w:t>
      </w:r>
      <w:r>
        <w:rPr>
          <w:rFonts w:ascii="Calibri" w:hAnsi="Calibri"/>
          <w:color w:val="525866"/>
          <w:sz w:val="22"/>
        </w:rPr>
        <w:t>; OSB pricing is the secondary risk given peer data showing sequential softness.</w:t>
      </w:r>
    </w:p>
    <w:p>
      <w:pPr>
        <w:pStyle w:val="Heading3"/>
      </w:pPr>
      <w:r>
        <w:rPr>
          <w:rFonts w:ascii="Calibri" w:hAnsi="Calibri"/>
          <w:b/>
          <w:color w:val="3B4259"/>
          <w:sz w:val="24"/>
        </w:rPr>
        <w:t>Table 1 — Current Quarter Snapshot (Q2 2026)</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KPI</w:t>
            </w:r>
          </w:p>
        </w:tc>
        <w:tc>
          <w:tcPr>
            <w:tcW w:type="dxa" w:w="1234"/>
            <w:shd w:val="clear" w:color="auto" w:fill="3B4259"/>
          </w:tcPr>
          <w:p>
            <w:r>
              <w:rPr>
                <w:rFonts w:ascii="Calibri" w:hAnsi="Calibri"/>
                <w:b/>
                <w:color w:val="FFFFFF"/>
                <w:sz w:val="22"/>
              </w:rPr>
              <w:t>Q1 2026 Actual</w:t>
            </w:r>
          </w:p>
        </w:tc>
        <w:tc>
          <w:tcPr>
            <w:tcW w:type="dxa" w:w="1234"/>
            <w:shd w:val="clear" w:color="auto" w:fill="3B4259"/>
          </w:tcPr>
          <w:p>
            <w:r>
              <w:rPr>
                <w:rFonts w:ascii="Calibri" w:hAnsi="Calibri"/>
                <w:b/>
                <w:color w:val="FFFFFF"/>
                <w:sz w:val="22"/>
              </w:rPr>
              <w:t>Q2 2025 Actual (Prior Year)</w:t>
            </w:r>
          </w:p>
        </w:tc>
        <w:tc>
          <w:tcPr>
            <w:tcW w:type="dxa" w:w="1234"/>
            <w:shd w:val="clear" w:color="auto" w:fill="3B4259"/>
          </w:tcPr>
          <w:p>
            <w:r>
              <w:rPr>
                <w:rFonts w:ascii="Calibri" w:hAnsi="Calibri"/>
                <w:b/>
                <w:color w:val="FFFFFF"/>
                <w:sz w:val="22"/>
              </w:rPr>
              <w:t>Q2 2026 Consensus Estimate</w:t>
            </w:r>
          </w:p>
        </w:tc>
        <w:tc>
          <w:tcPr>
            <w:tcW w:type="dxa" w:w="1234"/>
            <w:shd w:val="clear" w:color="auto" w:fill="3B4259"/>
          </w:tcPr>
          <w:p>
            <w:r>
              <w:rPr>
                <w:rFonts w:ascii="Calibri" w:hAnsi="Calibri"/>
                <w:b/>
                <w:color w:val="FFFFFF"/>
                <w:sz w:val="22"/>
              </w:rPr>
              <w:t>YoY Change</w:t>
            </w:r>
          </w:p>
        </w:tc>
        <w:tc>
          <w:tcPr>
            <w:tcW w:type="dxa" w:w="1234"/>
            <w:shd w:val="clear" w:color="auto" w:fill="3B4259"/>
          </w:tcPr>
          <w:p>
            <w:r>
              <w:rPr>
                <w:rFonts w:ascii="Calibri" w:hAnsi="Calibri"/>
                <w:b/>
                <w:color w:val="FFFFFF"/>
                <w:sz w:val="22"/>
              </w:rPr>
              <w:t>Guidance (Q1 Call)</w:t>
            </w:r>
          </w:p>
        </w:tc>
        <w:tc>
          <w:tcPr>
            <w:tcW w:type="dxa" w:w="1234"/>
            <w:shd w:val="clear" w:color="auto" w:fill="3B4259"/>
          </w:tcPr>
          <w:p>
            <w:r>
              <w:rPr>
                <w:rFonts w:ascii="Calibri" w:hAnsi="Calibri"/>
                <w:b/>
                <w:color w:val="FFFFFF"/>
                <w:sz w:val="22"/>
              </w:rPr>
              <w:t>Consensus vs. Guidance</w:t>
            </w:r>
          </w:p>
        </w:tc>
      </w:tr>
      <w:tr>
        <w:tc>
          <w:tcPr>
            <w:tcW w:type="dxa" w:w="1234"/>
          </w:tcPr>
          <w:p>
            <w:r>
              <w:rPr>
                <w:rFonts w:ascii="Calibri" w:hAnsi="Calibri"/>
                <w:sz w:val="22"/>
              </w:rPr>
              <w:t>Net Sales ($M)</w:t>
            </w:r>
          </w:p>
        </w:tc>
        <w:tc>
          <w:tcPr>
            <w:tcW w:type="dxa" w:w="1234"/>
          </w:tcPr>
          <w:p>
            <w:r>
              <w:rPr>
                <w:rFonts w:ascii="Calibri" w:hAnsi="Calibri"/>
                <w:sz w:val="22"/>
              </w:rPr>
              <w:t>$1,727</w:t>
            </w:r>
          </w:p>
        </w:tc>
        <w:tc>
          <w:tcPr>
            <w:tcW w:type="dxa" w:w="1234"/>
          </w:tcPr>
          <w:p>
            <w:r>
              <w:rPr>
                <w:rFonts w:ascii="Calibri" w:hAnsi="Calibri"/>
                <w:sz w:val="22"/>
              </w:rPr>
              <w:t>$1,884</w:t>
            </w:r>
          </w:p>
        </w:tc>
        <w:tc>
          <w:tcPr>
            <w:tcW w:type="dxa" w:w="1234"/>
          </w:tcPr>
          <w:p>
            <w:r>
              <w:rPr>
                <w:rFonts w:ascii="Calibri" w:hAnsi="Calibri"/>
                <w:sz w:val="22"/>
              </w:rPr>
              <w:t>$1,842</w:t>
            </w:r>
          </w:p>
        </w:tc>
        <w:tc>
          <w:tcPr>
            <w:tcW w:type="dxa" w:w="1234"/>
          </w:tcPr>
          <w:p>
            <w:r>
              <w:rPr>
                <w:rFonts w:ascii="Calibri" w:hAnsi="Calibri"/>
                <w:sz w:val="22"/>
              </w:rPr>
              <w:t>−2.2%</w:t>
            </w:r>
          </w:p>
        </w:tc>
        <w:tc>
          <w:tcPr>
            <w:tcW w:type="dxa" w:w="1234"/>
          </w:tcPr>
          <w:p>
            <w:r>
              <w:rPr>
                <w:rFonts w:ascii="Calibri" w:hAnsi="Calibri"/>
                <w:sz w:val="22"/>
              </w:rPr>
              <w:t>No specific $ guidance</w:t>
            </w:r>
          </w:p>
        </w:tc>
        <w:tc>
          <w:tcPr>
            <w:tcW w:type="dxa" w:w="1234"/>
          </w:tcPr>
          <w:p>
            <w:r>
              <w:rPr>
                <w:rFonts w:ascii="Calibri" w:hAnsi="Calibri"/>
                <w:sz w:val="22"/>
              </w:rPr>
              <w:t>N/A</w:t>
            </w:r>
          </w:p>
        </w:tc>
      </w:tr>
      <w:tr>
        <w:tc>
          <w:tcPr>
            <w:tcW w:type="dxa" w:w="1234"/>
          </w:tcPr>
          <w:p>
            <w:r>
              <w:rPr>
                <w:rFonts w:ascii="Calibri" w:hAnsi="Calibri"/>
                <w:sz w:val="22"/>
              </w:rPr>
              <w:t>Adjusted EBITDA ($M)</w:t>
            </w:r>
          </w:p>
        </w:tc>
        <w:tc>
          <w:tcPr>
            <w:tcW w:type="dxa" w:w="1234"/>
          </w:tcPr>
          <w:p>
            <w:r>
              <w:rPr>
                <w:rFonts w:ascii="Calibri" w:hAnsi="Calibri"/>
                <w:sz w:val="22"/>
              </w:rPr>
              <w:t>$308</w:t>
            </w:r>
          </w:p>
        </w:tc>
        <w:tc>
          <w:tcPr>
            <w:tcW w:type="dxa" w:w="1234"/>
          </w:tcPr>
          <w:p>
            <w:r>
              <w:rPr>
                <w:rFonts w:ascii="Calibri" w:hAnsi="Calibri"/>
                <w:sz w:val="22"/>
              </w:rPr>
              <w:t>$336</w:t>
            </w:r>
          </w:p>
        </w:tc>
        <w:tc>
          <w:tcPr>
            <w:tcW w:type="dxa" w:w="1234"/>
          </w:tcPr>
          <w:p>
            <w:r>
              <w:rPr>
                <w:rFonts w:ascii="Calibri" w:hAnsi="Calibri"/>
                <w:sz w:val="22"/>
              </w:rPr>
              <w:t>$297</w:t>
            </w:r>
          </w:p>
        </w:tc>
        <w:tc>
          <w:tcPr>
            <w:tcW w:type="dxa" w:w="1234"/>
          </w:tcPr>
          <w:p>
            <w:r>
              <w:rPr>
                <w:rFonts w:ascii="Calibri" w:hAnsi="Calibri"/>
                <w:sz w:val="22"/>
              </w:rPr>
              <w:t>−11.6%</w:t>
            </w:r>
          </w:p>
        </w:tc>
        <w:tc>
          <w:tcPr>
            <w:tcW w:type="dxa" w:w="1234"/>
          </w:tcPr>
          <w:p>
            <w:r>
              <w:rPr>
                <w:rFonts w:ascii="Calibri" w:hAnsi="Calibri"/>
                <w:sz w:val="22"/>
              </w:rPr>
              <w:t>Comparable to Q1 ex-pricing (Wood Products); SLS ~$70M lower than Q1</w:t>
            </w:r>
          </w:p>
        </w:tc>
        <w:tc>
          <w:tcPr>
            <w:tcW w:type="dxa" w:w="1234"/>
          </w:tcPr>
          <w:p>
            <w:r>
              <w:rPr>
                <w:rFonts w:ascii="Calibri" w:hAnsi="Calibri"/>
                <w:sz w:val="22"/>
              </w:rPr>
              <w:t>~In-line</w:t>
            </w:r>
          </w:p>
        </w:tc>
      </w:tr>
      <w:tr>
        <w:tc>
          <w:tcPr>
            <w:tcW w:type="dxa" w:w="1234"/>
          </w:tcPr>
          <w:p>
            <w:r>
              <w:rPr>
                <w:rFonts w:ascii="Calibri" w:hAnsi="Calibri"/>
                <w:sz w:val="22"/>
              </w:rPr>
              <w:t>Operating EPS (Diluted, $)</w:t>
            </w:r>
          </w:p>
        </w:tc>
        <w:tc>
          <w:tcPr>
            <w:tcW w:type="dxa" w:w="1234"/>
          </w:tcPr>
          <w:p>
            <w:r>
              <w:rPr>
                <w:rFonts w:ascii="Calibri" w:hAnsi="Calibri"/>
                <w:sz w:val="22"/>
              </w:rPr>
              <w:t>$0.11</w:t>
            </w:r>
          </w:p>
        </w:tc>
        <w:tc>
          <w:tcPr>
            <w:tcW w:type="dxa" w:w="1234"/>
          </w:tcPr>
          <w:p>
            <w:r>
              <w:rPr>
                <w:rFonts w:ascii="Calibri" w:hAnsi="Calibri"/>
                <w:sz w:val="22"/>
              </w:rPr>
              <w:t>$0.12</w:t>
            </w:r>
          </w:p>
        </w:tc>
        <w:tc>
          <w:tcPr>
            <w:tcW w:type="dxa" w:w="1234"/>
          </w:tcPr>
          <w:p>
            <w:r>
              <w:rPr>
                <w:rFonts w:ascii="Calibri" w:hAnsi="Calibri"/>
                <w:sz w:val="22"/>
              </w:rPr>
              <w:t>$0.082</w:t>
            </w:r>
          </w:p>
        </w:tc>
        <w:tc>
          <w:tcPr>
            <w:tcW w:type="dxa" w:w="1234"/>
          </w:tcPr>
          <w:p>
            <w:r>
              <w:rPr>
                <w:rFonts w:ascii="Calibri" w:hAnsi="Calibri"/>
                <w:sz w:val="22"/>
              </w:rPr>
              <w:t>−31.7%</w:t>
            </w:r>
          </w:p>
        </w:tc>
        <w:tc>
          <w:tcPr>
            <w:tcW w:type="dxa" w:w="1234"/>
          </w:tcPr>
          <w:p>
            <w:r>
              <w:rPr>
                <w:rFonts w:ascii="Calibri" w:hAnsi="Calibri"/>
                <w:sz w:val="22"/>
              </w:rPr>
              <w:t>No specific EPS guidance</w:t>
            </w:r>
          </w:p>
        </w:tc>
        <w:tc>
          <w:tcPr>
            <w:tcW w:type="dxa" w:w="1234"/>
          </w:tcPr>
          <w:p>
            <w:r>
              <w:rPr>
                <w:rFonts w:ascii="Calibri" w:hAnsi="Calibri"/>
                <w:sz w:val="22"/>
              </w:rPr>
              <w:t>N/A</w:t>
            </w:r>
          </w:p>
        </w:tc>
      </w:tr>
      <w:tr>
        <w:tc>
          <w:tcPr>
            <w:tcW w:type="dxa" w:w="1234"/>
          </w:tcPr>
          <w:p>
            <w:r>
              <w:rPr>
                <w:rFonts w:ascii="Calibri" w:hAnsi="Calibri"/>
                <w:sz w:val="22"/>
              </w:rPr>
              <w:t>Adj. EBITDA — Wood Products ($M)</w:t>
            </w:r>
          </w:p>
        </w:tc>
        <w:tc>
          <w:tcPr>
            <w:tcW w:type="dxa" w:w="1234"/>
          </w:tcPr>
          <w:p>
            <w:r>
              <w:rPr>
                <w:rFonts w:ascii="Calibri" w:hAnsi="Calibri"/>
                <w:sz w:val="22"/>
              </w:rPr>
              <w:t>$71</w:t>
            </w:r>
          </w:p>
        </w:tc>
        <w:tc>
          <w:tcPr>
            <w:tcW w:type="dxa" w:w="1234"/>
          </w:tcPr>
          <w:p>
            <w:r>
              <w:rPr>
                <w:rFonts w:ascii="Calibri" w:hAnsi="Calibri"/>
                <w:sz w:val="22"/>
              </w:rPr>
              <w:t>$101</w:t>
            </w:r>
          </w:p>
        </w:tc>
        <w:tc>
          <w:tcPr>
            <w:tcW w:type="dxa" w:w="1234"/>
          </w:tcPr>
          <w:p>
            <w:r>
              <w:rPr>
                <w:rFonts w:ascii="Calibri" w:hAnsi="Calibri"/>
                <w:sz w:val="22"/>
              </w:rPr>
              <w:t>$128</w:t>
            </w:r>
          </w:p>
        </w:tc>
        <w:tc>
          <w:tcPr>
            <w:tcW w:type="dxa" w:w="1234"/>
          </w:tcPr>
          <w:p>
            <w:r>
              <w:rPr>
                <w:rFonts w:ascii="Calibri" w:hAnsi="Calibri"/>
                <w:sz w:val="22"/>
              </w:rPr>
              <w:t>+26.7%</w:t>
            </w:r>
          </w:p>
        </w:tc>
        <w:tc>
          <w:tcPr>
            <w:tcW w:type="dxa" w:w="1234"/>
          </w:tcPr>
          <w:p>
            <w:r>
              <w:rPr>
                <w:rFonts w:ascii="Calibri" w:hAnsi="Calibri"/>
                <w:sz w:val="22"/>
              </w:rPr>
              <w:t>Comparable to Q1 ex-pricing; ~$20M lower ex-pricing (June 25 update)</w:t>
            </w:r>
          </w:p>
        </w:tc>
        <w:tc>
          <w:tcPr>
            <w:tcW w:type="dxa" w:w="1234"/>
          </w:tcPr>
          <w:p>
            <w:r>
              <w:rPr>
                <w:rFonts w:ascii="Calibri" w:hAnsi="Calibri"/>
                <w:sz w:val="22"/>
              </w:rPr>
              <w:t>~In-line to slight upside if pricing holds</w:t>
            </w:r>
          </w:p>
        </w:tc>
      </w:tr>
      <w:tr>
        <w:tc>
          <w:tcPr>
            <w:tcW w:type="dxa" w:w="1234"/>
          </w:tcPr>
          <w:p>
            <w:r>
              <w:rPr>
                <w:rFonts w:ascii="Calibri" w:hAnsi="Calibri"/>
                <w:sz w:val="22"/>
              </w:rPr>
              <w:t>Adj. EBITDA — Timberlands ($M)</w:t>
            </w:r>
          </w:p>
        </w:tc>
        <w:tc>
          <w:tcPr>
            <w:tcW w:type="dxa" w:w="1234"/>
          </w:tcPr>
          <w:p>
            <w:r>
              <w:rPr>
                <w:rFonts w:ascii="Calibri" w:hAnsi="Calibri"/>
                <w:sz w:val="22"/>
              </w:rPr>
              <w:t>$120</w:t>
            </w:r>
          </w:p>
        </w:tc>
        <w:tc>
          <w:tcPr>
            <w:tcW w:type="dxa" w:w="1234"/>
          </w:tcPr>
          <w:p>
            <w:r>
              <w:rPr>
                <w:rFonts w:ascii="Calibri" w:hAnsi="Calibri"/>
                <w:sz w:val="22"/>
              </w:rPr>
              <w:t>$152</w:t>
            </w:r>
          </w:p>
        </w:tc>
        <w:tc>
          <w:tcPr>
            <w:tcW w:type="dxa" w:w="1234"/>
          </w:tcPr>
          <w:p>
            <w:r>
              <w:rPr>
                <w:rFonts w:ascii="Calibri" w:hAnsi="Calibri"/>
                <w:sz w:val="22"/>
              </w:rPr>
              <w:t>$121</w:t>
            </w:r>
          </w:p>
        </w:tc>
        <w:tc>
          <w:tcPr>
            <w:tcW w:type="dxa" w:w="1234"/>
          </w:tcPr>
          <w:p>
            <w:r>
              <w:rPr>
                <w:rFonts w:ascii="Calibri" w:hAnsi="Calibri"/>
                <w:sz w:val="22"/>
              </w:rPr>
              <w:t>−20.4%</w:t>
            </w:r>
          </w:p>
        </w:tc>
        <w:tc>
          <w:tcPr>
            <w:tcW w:type="dxa" w:w="1234"/>
          </w:tcPr>
          <w:p>
            <w:r>
              <w:rPr>
                <w:rFonts w:ascii="Calibri" w:hAnsi="Calibri"/>
                <w:sz w:val="22"/>
              </w:rPr>
              <w:t>Comparable to Q1</w:t>
            </w:r>
          </w:p>
        </w:tc>
        <w:tc>
          <w:tcPr>
            <w:tcW w:type="dxa" w:w="1234"/>
          </w:tcPr>
          <w:p>
            <w:r>
              <w:rPr>
                <w:rFonts w:ascii="Calibri" w:hAnsi="Calibri"/>
                <w:sz w:val="22"/>
              </w:rPr>
              <w:t>~In-line</w:t>
            </w:r>
          </w:p>
        </w:tc>
      </w:tr>
      <w:tr>
        <w:tc>
          <w:tcPr>
            <w:tcW w:type="dxa" w:w="1234"/>
          </w:tcPr>
          <w:p>
            <w:r>
              <w:rPr>
                <w:rFonts w:ascii="Calibri" w:hAnsi="Calibri"/>
                <w:sz w:val="22"/>
              </w:rPr>
              <w:t>Adj. EBITDA — Strategic Land Solutions ($M)</w:t>
            </w:r>
          </w:p>
        </w:tc>
        <w:tc>
          <w:tcPr>
            <w:tcW w:type="dxa" w:w="1234"/>
          </w:tcPr>
          <w:p>
            <w:r>
              <w:rPr>
                <w:rFonts w:ascii="Calibri" w:hAnsi="Calibri"/>
                <w:sz w:val="22"/>
              </w:rPr>
              <w:t>$193</w:t>
            </w:r>
          </w:p>
        </w:tc>
        <w:tc>
          <w:tcPr>
            <w:tcW w:type="dxa" w:w="1234"/>
          </w:tcPr>
          <w:p>
            <w:r>
              <w:rPr>
                <w:rFonts w:ascii="Calibri" w:hAnsi="Calibri"/>
                <w:sz w:val="22"/>
              </w:rPr>
              <w:t>$143</w:t>
            </w:r>
          </w:p>
        </w:tc>
        <w:tc>
          <w:tcPr>
            <w:tcW w:type="dxa" w:w="1234"/>
          </w:tcPr>
          <w:p>
            <w:r>
              <w:rPr>
                <w:rFonts w:ascii="Calibri" w:hAnsi="Calibri"/>
                <w:sz w:val="22"/>
              </w:rPr>
              <w:t>$123</w:t>
            </w:r>
          </w:p>
        </w:tc>
        <w:tc>
          <w:tcPr>
            <w:tcW w:type="dxa" w:w="1234"/>
          </w:tcPr>
          <w:p>
            <w:r>
              <w:rPr>
                <w:rFonts w:ascii="Calibri" w:hAnsi="Calibri"/>
                <w:sz w:val="22"/>
              </w:rPr>
              <w:t>−14.0%</w:t>
            </w:r>
          </w:p>
        </w:tc>
        <w:tc>
          <w:tcPr>
            <w:tcW w:type="dxa" w:w="1234"/>
          </w:tcPr>
          <w:p>
            <w:r>
              <w:rPr>
                <w:rFonts w:ascii="Calibri" w:hAnsi="Calibri"/>
                <w:sz w:val="22"/>
              </w:rPr>
              <w:t>~$70M lower than Q1 (no large conservation easement)</w:t>
            </w:r>
          </w:p>
        </w:tc>
        <w:tc>
          <w:tcPr>
            <w:tcW w:type="dxa" w:w="1234"/>
          </w:tcPr>
          <w:p>
            <w:r>
              <w:rPr>
                <w:rFonts w:ascii="Calibri" w:hAnsi="Calibri"/>
                <w:sz w:val="22"/>
              </w:rPr>
              <w:t>~In-line</w:t>
            </w:r>
          </w:p>
        </w:tc>
      </w:tr>
      <w:tr>
        <w:tc>
          <w:tcPr>
            <w:tcW w:type="dxa" w:w="1234"/>
          </w:tcPr>
          <w:p>
            <w:r>
              <w:rPr>
                <w:rFonts w:ascii="Calibri" w:hAnsi="Calibri"/>
                <w:sz w:val="22"/>
              </w:rPr>
              <w:t>Lumber Realization ($/MBF)</w:t>
            </w:r>
          </w:p>
        </w:tc>
        <w:tc>
          <w:tcPr>
            <w:tcW w:type="dxa" w:w="1234"/>
          </w:tcPr>
          <w:p>
            <w:r>
              <w:rPr>
                <w:rFonts w:ascii="Calibri" w:hAnsi="Calibri"/>
                <w:sz w:val="22"/>
              </w:rPr>
              <w:t>$443</w:t>
            </w:r>
          </w:p>
        </w:tc>
        <w:tc>
          <w:tcPr>
            <w:tcW w:type="dxa" w:w="1234"/>
          </w:tcPr>
          <w:p>
            <w:r>
              <w:rPr>
                <w:rFonts w:ascii="Calibri" w:hAnsi="Calibri"/>
                <w:sz w:val="22"/>
              </w:rPr>
              <w:t>$454</w:t>
            </w:r>
          </w:p>
        </w:tc>
        <w:tc>
          <w:tcPr>
            <w:tcW w:type="dxa" w:w="1234"/>
          </w:tcPr>
          <w:p>
            <w:r>
              <w:rPr>
                <w:rFonts w:ascii="Calibri" w:hAnsi="Calibri"/>
                <w:sz w:val="22"/>
              </w:rPr>
              <w:t>$501</w:t>
            </w:r>
          </w:p>
        </w:tc>
        <w:tc>
          <w:tcPr>
            <w:tcW w:type="dxa" w:w="1234"/>
          </w:tcPr>
          <w:p>
            <w:r>
              <w:rPr>
                <w:rFonts w:ascii="Calibri" w:hAnsi="Calibri"/>
                <w:sz w:val="22"/>
              </w:rPr>
              <w:t>+10.3%</w:t>
            </w:r>
          </w:p>
        </w:tc>
        <w:tc>
          <w:tcPr>
            <w:tcW w:type="dxa" w:w="1234"/>
          </w:tcPr>
          <w:p>
            <w:r>
              <w:rPr>
                <w:rFonts w:ascii="Calibri" w:hAnsi="Calibri"/>
                <w:sz w:val="22"/>
              </w:rPr>
              <w:t>QTD ~$65/MBF above Q1 avg (June 25 update)</w:t>
            </w:r>
          </w:p>
        </w:tc>
        <w:tc>
          <w:tcPr>
            <w:tcW w:type="dxa" w:w="1234"/>
          </w:tcPr>
          <w:p>
            <w:r>
              <w:rPr>
                <w:rFonts w:ascii="Calibri" w:hAnsi="Calibri"/>
                <w:sz w:val="22"/>
              </w:rPr>
              <w:t>~In-line to slight upside</w:t>
            </w:r>
          </w:p>
        </w:tc>
      </w:tr>
      <w:tr>
        <w:tc>
          <w:tcPr>
            <w:tcW w:type="dxa" w:w="1234"/>
          </w:tcPr>
          <w:p>
            <w:r>
              <w:rPr>
                <w:rFonts w:ascii="Calibri" w:hAnsi="Calibri"/>
                <w:sz w:val="22"/>
              </w:rPr>
              <w:t>OSB Realization ($/MSF)</w:t>
            </w:r>
          </w:p>
        </w:tc>
        <w:tc>
          <w:tcPr>
            <w:tcW w:type="dxa" w:w="1234"/>
          </w:tcPr>
          <w:p>
            <w:r>
              <w:rPr>
                <w:rFonts w:ascii="Calibri" w:hAnsi="Calibri"/>
                <w:sz w:val="22"/>
              </w:rPr>
              <w:t>$236</w:t>
            </w:r>
          </w:p>
        </w:tc>
        <w:tc>
          <w:tcPr>
            <w:tcW w:type="dxa" w:w="1234"/>
          </w:tcPr>
          <w:p>
            <w:r>
              <w:rPr>
                <w:rFonts w:ascii="Calibri" w:hAnsi="Calibri"/>
                <w:sz w:val="22"/>
              </w:rPr>
              <w:t>$280</w:t>
            </w:r>
          </w:p>
        </w:tc>
        <w:tc>
          <w:tcPr>
            <w:tcW w:type="dxa" w:w="1234"/>
          </w:tcPr>
          <w:p>
            <w:r>
              <w:rPr>
                <w:rFonts w:ascii="Calibri" w:hAnsi="Calibri"/>
                <w:sz w:val="22"/>
              </w:rPr>
              <w:t>$244</w:t>
            </w:r>
          </w:p>
        </w:tc>
        <w:tc>
          <w:tcPr>
            <w:tcW w:type="dxa" w:w="1234"/>
          </w:tcPr>
          <w:p>
            <w:r>
              <w:rPr>
                <w:rFonts w:ascii="Calibri" w:hAnsi="Calibri"/>
                <w:sz w:val="22"/>
              </w:rPr>
              <w:t>−12.9%</w:t>
            </w:r>
          </w:p>
        </w:tc>
        <w:tc>
          <w:tcPr>
            <w:tcW w:type="dxa" w:w="1234"/>
          </w:tcPr>
          <w:p>
            <w:r>
              <w:rPr>
                <w:rFonts w:ascii="Calibri" w:hAnsi="Calibri"/>
                <w:sz w:val="22"/>
              </w:rPr>
              <w:t>QTD comparable to Q1 (June 25 update)</w:t>
            </w:r>
          </w:p>
        </w:tc>
        <w:tc>
          <w:tcPr>
            <w:tcW w:type="dxa" w:w="1234"/>
          </w:tcPr>
          <w:p>
            <w:r>
              <w:rPr>
                <w:rFonts w:ascii="Calibri" w:hAnsi="Calibri"/>
                <w:sz w:val="22"/>
              </w:rPr>
              <w:t>~In-line; downside risk per WFG data</w:t>
            </w:r>
          </w:p>
        </w:tc>
      </w:tr>
    </w:tbl>
    <w:p>
      <w:r>
        <w:rPr>
          <w:rFonts w:ascii="Calibri" w:hAnsi="Calibri"/>
          <w:i/>
          <w:color w:val="525866"/>
          <w:sz w:val="22"/>
        </w:rPr>
        <w:t>Sources: Visible Alpha Consensus and Actuals Data; WY Q1 2026 Earnings Call (May 1, 2026); WY June 25, 2026 Investor Presentation (8-K EX-99.1). All consensus figures as of July 29, 2026.</w:t>
      </w:r>
    </w:p>
    <w:p>
      <w:pPr>
        <w:pStyle w:val="Heading3"/>
      </w:pPr>
      <w:r>
        <w:rPr>
          <w:rFonts w:ascii="Calibri" w:hAnsi="Calibri"/>
          <w:b/>
          <w:color w:val="3B4259"/>
          <w:sz w:val="24"/>
        </w:rPr>
        <w:t>Table 2 — Beat/Miss History: Last 8 Quarters (Top 2 KPIs: Adjusted EBITDA &amp; Lumber Realization $/MBF)</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shd w:val="clear" w:color="auto" w:fill="3B4259"/>
          </w:tcPr>
          <w:p>
            <w:r>
              <w:rPr>
                <w:rFonts w:ascii="Calibri" w:hAnsi="Calibri"/>
                <w:b/>
                <w:color w:val="FFFFFF"/>
                <w:sz w:val="22"/>
              </w:rPr>
              <w:t>Quarter</w:t>
            </w:r>
          </w:p>
        </w:tc>
        <w:tc>
          <w:tcPr>
            <w:tcW w:type="dxa" w:w="1440"/>
            <w:shd w:val="clear" w:color="auto" w:fill="3B4259"/>
          </w:tcPr>
          <w:p>
            <w:r>
              <w:rPr>
                <w:rFonts w:ascii="Calibri" w:hAnsi="Calibri"/>
                <w:b/>
                <w:color w:val="FFFFFF"/>
                <w:sz w:val="22"/>
              </w:rPr>
              <w:t>KPI</w:t>
            </w:r>
          </w:p>
        </w:tc>
        <w:tc>
          <w:tcPr>
            <w:tcW w:type="dxa" w:w="1440"/>
            <w:shd w:val="clear" w:color="auto" w:fill="3B4259"/>
          </w:tcPr>
          <w:p>
            <w:r>
              <w:rPr>
                <w:rFonts w:ascii="Calibri" w:hAnsi="Calibri"/>
                <w:b/>
                <w:color w:val="FFFFFF"/>
                <w:sz w:val="22"/>
              </w:rPr>
              <w:t>Reported</w:t>
            </w:r>
          </w:p>
        </w:tc>
        <w:tc>
          <w:tcPr>
            <w:tcW w:type="dxa" w:w="1440"/>
            <w:shd w:val="clear" w:color="auto" w:fill="3B4259"/>
          </w:tcPr>
          <w:p>
            <w:r>
              <w:rPr>
                <w:rFonts w:ascii="Calibri" w:hAnsi="Calibri"/>
                <w:b/>
                <w:color w:val="FFFFFF"/>
                <w:sz w:val="22"/>
              </w:rPr>
              <w:t>Consensus</w:t>
            </w:r>
          </w:p>
        </w:tc>
        <w:tc>
          <w:tcPr>
            <w:tcW w:type="dxa" w:w="1440"/>
            <w:shd w:val="clear" w:color="auto" w:fill="3B4259"/>
          </w:tcPr>
          <w:p>
            <w:r>
              <w:rPr>
                <w:rFonts w:ascii="Calibri" w:hAnsi="Calibri"/>
                <w:b/>
                <w:color w:val="FFFFFF"/>
                <w:sz w:val="22"/>
              </w:rPr>
              <w:t>Surprise %</w:t>
            </w:r>
          </w:p>
        </w:tc>
        <w:tc>
          <w:tcPr>
            <w:tcW w:type="dxa" w:w="1440"/>
            <w:shd w:val="clear" w:color="auto" w:fill="3B4259"/>
          </w:tcPr>
          <w:p>
            <w:r>
              <w:rPr>
                <w:rFonts w:ascii="Calibri" w:hAnsi="Calibri"/>
                <w:b/>
                <w:color w:val="FFFFFF"/>
                <w:sz w:val="22"/>
              </w:rPr>
              <w:t>Result</w:t>
            </w:r>
          </w:p>
        </w:tc>
      </w:tr>
      <w:tr>
        <w:tc>
          <w:tcPr>
            <w:tcW w:type="dxa" w:w="1440"/>
          </w:tcPr>
          <w:p>
            <w:r>
              <w:rPr>
                <w:rFonts w:ascii="Calibri" w:hAnsi="Calibri"/>
                <w:sz w:val="22"/>
              </w:rPr>
              <w:t>Q1 2026</w:t>
            </w:r>
          </w:p>
        </w:tc>
        <w:tc>
          <w:tcPr>
            <w:tcW w:type="dxa" w:w="1440"/>
          </w:tcPr>
          <w:p>
            <w:r>
              <w:rPr>
                <w:rFonts w:ascii="Calibri" w:hAnsi="Calibri"/>
                <w:sz w:val="22"/>
              </w:rPr>
              <w:t>Adj. EBITDA ($M)</w:t>
            </w:r>
          </w:p>
        </w:tc>
        <w:tc>
          <w:tcPr>
            <w:tcW w:type="dxa" w:w="1440"/>
          </w:tcPr>
          <w:p>
            <w:r>
              <w:rPr>
                <w:rFonts w:ascii="Calibri" w:hAnsi="Calibri"/>
                <w:sz w:val="22"/>
              </w:rPr>
              <w:t>$308</w:t>
            </w:r>
          </w:p>
        </w:tc>
        <w:tc>
          <w:tcPr>
            <w:tcW w:type="dxa" w:w="1440"/>
          </w:tcPr>
          <w:p>
            <w:r>
              <w:rPr>
                <w:rFonts w:ascii="Calibri" w:hAnsi="Calibri"/>
                <w:sz w:val="22"/>
              </w:rPr>
              <w:t>$268</w:t>
            </w:r>
          </w:p>
        </w:tc>
        <w:tc>
          <w:tcPr>
            <w:tcW w:type="dxa" w:w="1440"/>
          </w:tcPr>
          <w:p>
            <w:r>
              <w:rPr>
                <w:rFonts w:ascii="Calibri" w:hAnsi="Calibri"/>
                <w:b/>
                <w:color w:val="30A46C"/>
                <w:sz w:val="22"/>
              </w:rPr>
              <w:t>+15.0%</w:t>
            </w:r>
          </w:p>
        </w:tc>
        <w:tc>
          <w:tcPr>
            <w:tcW w:type="dxa" w:w="1440"/>
          </w:tcPr>
          <w:p>
            <w:r>
              <w:rPr>
                <w:rFonts w:ascii="Calibri" w:hAnsi="Calibri"/>
                <w:b/>
                <w:color w:val="30A46C"/>
                <w:sz w:val="22"/>
              </w:rPr>
              <w:t>Beat</w:t>
            </w:r>
          </w:p>
        </w:tc>
      </w:tr>
      <w:tr>
        <w:tc>
          <w:tcPr>
            <w:tcW w:type="dxa" w:w="1440"/>
          </w:tcPr>
          <w:p>
            <w:r>
              <w:rPr>
                <w:rFonts w:ascii="Calibri" w:hAnsi="Calibri"/>
                <w:sz w:val="22"/>
              </w:rPr>
              <w:t>Q1 2026</w:t>
            </w:r>
          </w:p>
        </w:tc>
        <w:tc>
          <w:tcPr>
            <w:tcW w:type="dxa" w:w="1440"/>
          </w:tcPr>
          <w:p>
            <w:r>
              <w:rPr>
                <w:rFonts w:ascii="Calibri" w:hAnsi="Calibri"/>
                <w:sz w:val="22"/>
              </w:rPr>
              <w:t>Lumber ($/MBF)</w:t>
            </w:r>
          </w:p>
        </w:tc>
        <w:tc>
          <w:tcPr>
            <w:tcW w:type="dxa" w:w="1440"/>
          </w:tcPr>
          <w:p>
            <w:r>
              <w:rPr>
                <w:rFonts w:ascii="Calibri" w:hAnsi="Calibri"/>
                <w:sz w:val="22"/>
              </w:rPr>
              <w:t>$443</w:t>
            </w:r>
          </w:p>
        </w:tc>
        <w:tc>
          <w:tcPr>
            <w:tcW w:type="dxa" w:w="1440"/>
          </w:tcPr>
          <w:p>
            <w:r>
              <w:rPr>
                <w:rFonts w:ascii="Calibri" w:hAnsi="Calibri"/>
                <w:sz w:val="22"/>
              </w:rPr>
              <w:t>$437</w:t>
            </w:r>
          </w:p>
        </w:tc>
        <w:tc>
          <w:tcPr>
            <w:tcW w:type="dxa" w:w="1440"/>
          </w:tcPr>
          <w:p>
            <w:r>
              <w:rPr>
                <w:rFonts w:ascii="Calibri" w:hAnsi="Calibri"/>
                <w:b/>
                <w:color w:val="30A46C"/>
                <w:sz w:val="22"/>
              </w:rPr>
              <w:t>+1.4%</w:t>
            </w:r>
          </w:p>
        </w:tc>
        <w:tc>
          <w:tcPr>
            <w:tcW w:type="dxa" w:w="1440"/>
          </w:tcPr>
          <w:p>
            <w:r>
              <w:rPr>
                <w:rFonts w:ascii="Calibri" w:hAnsi="Calibri"/>
                <w:b/>
                <w:color w:val="30A46C"/>
                <w:sz w:val="22"/>
              </w:rPr>
              <w:t>Beat</w:t>
            </w:r>
          </w:p>
        </w:tc>
      </w:tr>
      <w:tr>
        <w:tc>
          <w:tcPr>
            <w:tcW w:type="dxa" w:w="1440"/>
          </w:tcPr>
          <w:p>
            <w:r>
              <w:rPr>
                <w:rFonts w:ascii="Calibri" w:hAnsi="Calibri"/>
                <w:sz w:val="22"/>
              </w:rPr>
              <w:t>Q4 2025</w:t>
            </w:r>
          </w:p>
        </w:tc>
        <w:tc>
          <w:tcPr>
            <w:tcW w:type="dxa" w:w="1440"/>
          </w:tcPr>
          <w:p>
            <w:r>
              <w:rPr>
                <w:rFonts w:ascii="Calibri" w:hAnsi="Calibri"/>
                <w:sz w:val="22"/>
              </w:rPr>
              <w:t>Adj. EBITDA ($M)</w:t>
            </w:r>
          </w:p>
        </w:tc>
        <w:tc>
          <w:tcPr>
            <w:tcW w:type="dxa" w:w="1440"/>
          </w:tcPr>
          <w:p>
            <w:r>
              <w:rPr>
                <w:rFonts w:ascii="Calibri" w:hAnsi="Calibri"/>
                <w:sz w:val="22"/>
              </w:rPr>
              <w:t>$140</w:t>
            </w:r>
          </w:p>
        </w:tc>
        <w:tc>
          <w:tcPr>
            <w:tcW w:type="dxa" w:w="1440"/>
          </w:tcPr>
          <w:p>
            <w:r>
              <w:rPr>
                <w:rFonts w:ascii="Calibri" w:hAnsi="Calibri"/>
                <w:sz w:val="22"/>
              </w:rPr>
              <w:t>$114</w:t>
            </w:r>
          </w:p>
        </w:tc>
        <w:tc>
          <w:tcPr>
            <w:tcW w:type="dxa" w:w="1440"/>
          </w:tcPr>
          <w:p>
            <w:r>
              <w:rPr>
                <w:rFonts w:ascii="Calibri" w:hAnsi="Calibri"/>
                <w:b/>
                <w:color w:val="30A46C"/>
                <w:sz w:val="22"/>
              </w:rPr>
              <w:t>+22.8%</w:t>
            </w:r>
          </w:p>
        </w:tc>
        <w:tc>
          <w:tcPr>
            <w:tcW w:type="dxa" w:w="1440"/>
          </w:tcPr>
          <w:p>
            <w:r>
              <w:rPr>
                <w:rFonts w:ascii="Calibri" w:hAnsi="Calibri"/>
                <w:b/>
                <w:color w:val="30A46C"/>
                <w:sz w:val="22"/>
              </w:rPr>
              <w:t>Beat</w:t>
            </w:r>
          </w:p>
        </w:tc>
      </w:tr>
      <w:tr>
        <w:tc>
          <w:tcPr>
            <w:tcW w:type="dxa" w:w="1440"/>
          </w:tcPr>
          <w:p>
            <w:r>
              <w:rPr>
                <w:rFonts w:ascii="Calibri" w:hAnsi="Calibri"/>
                <w:sz w:val="22"/>
              </w:rPr>
              <w:t>Q4 2025</w:t>
            </w:r>
          </w:p>
        </w:tc>
        <w:tc>
          <w:tcPr>
            <w:tcW w:type="dxa" w:w="1440"/>
          </w:tcPr>
          <w:p>
            <w:r>
              <w:rPr>
                <w:rFonts w:ascii="Calibri" w:hAnsi="Calibri"/>
                <w:sz w:val="22"/>
              </w:rPr>
              <w:t>Lumber ($/MBF)</w:t>
            </w:r>
          </w:p>
        </w:tc>
        <w:tc>
          <w:tcPr>
            <w:tcW w:type="dxa" w:w="1440"/>
          </w:tcPr>
          <w:p>
            <w:r>
              <w:rPr>
                <w:rFonts w:ascii="Calibri" w:hAnsi="Calibri"/>
                <w:sz w:val="22"/>
              </w:rPr>
              <w:t>$393</w:t>
            </w:r>
          </w:p>
        </w:tc>
        <w:tc>
          <w:tcPr>
            <w:tcW w:type="dxa" w:w="1440"/>
          </w:tcPr>
          <w:p>
            <w:r>
              <w:rPr>
                <w:rFonts w:ascii="Calibri" w:hAnsi="Calibri"/>
                <w:sz w:val="22"/>
              </w:rPr>
              <w:t>$387</w:t>
            </w:r>
          </w:p>
        </w:tc>
        <w:tc>
          <w:tcPr>
            <w:tcW w:type="dxa" w:w="1440"/>
          </w:tcPr>
          <w:p>
            <w:r>
              <w:rPr>
                <w:rFonts w:ascii="Calibri" w:hAnsi="Calibri"/>
                <w:b/>
                <w:color w:val="30A46C"/>
                <w:sz w:val="22"/>
              </w:rPr>
              <w:t>+1.5%</w:t>
            </w:r>
          </w:p>
        </w:tc>
        <w:tc>
          <w:tcPr>
            <w:tcW w:type="dxa" w:w="1440"/>
          </w:tcPr>
          <w:p>
            <w:r>
              <w:rPr>
                <w:rFonts w:ascii="Calibri" w:hAnsi="Calibri"/>
                <w:b/>
                <w:color w:val="30A46C"/>
                <w:sz w:val="22"/>
              </w:rPr>
              <w:t>Beat</w:t>
            </w:r>
          </w:p>
        </w:tc>
      </w:tr>
      <w:tr>
        <w:tc>
          <w:tcPr>
            <w:tcW w:type="dxa" w:w="1440"/>
          </w:tcPr>
          <w:p>
            <w:r>
              <w:rPr>
                <w:rFonts w:ascii="Calibri" w:hAnsi="Calibri"/>
                <w:sz w:val="22"/>
              </w:rPr>
              <w:t>Q3 2025</w:t>
            </w:r>
          </w:p>
        </w:tc>
        <w:tc>
          <w:tcPr>
            <w:tcW w:type="dxa" w:w="1440"/>
          </w:tcPr>
          <w:p>
            <w:r>
              <w:rPr>
                <w:rFonts w:ascii="Calibri" w:hAnsi="Calibri"/>
                <w:sz w:val="22"/>
              </w:rPr>
              <w:t>Adj. EBITDA ($M)</w:t>
            </w:r>
          </w:p>
        </w:tc>
        <w:tc>
          <w:tcPr>
            <w:tcW w:type="dxa" w:w="1440"/>
          </w:tcPr>
          <w:p>
            <w:r>
              <w:rPr>
                <w:rFonts w:ascii="Calibri" w:hAnsi="Calibri"/>
                <w:sz w:val="22"/>
              </w:rPr>
              <w:t>$217</w:t>
            </w:r>
          </w:p>
        </w:tc>
        <w:tc>
          <w:tcPr>
            <w:tcW w:type="dxa" w:w="1440"/>
          </w:tcPr>
          <w:p>
            <w:r>
              <w:rPr>
                <w:rFonts w:ascii="Calibri" w:hAnsi="Calibri"/>
                <w:sz w:val="22"/>
              </w:rPr>
              <w:t>$159</w:t>
            </w:r>
          </w:p>
        </w:tc>
        <w:tc>
          <w:tcPr>
            <w:tcW w:type="dxa" w:w="1440"/>
          </w:tcPr>
          <w:p>
            <w:r>
              <w:rPr>
                <w:rFonts w:ascii="Calibri" w:hAnsi="Calibri"/>
                <w:b/>
                <w:color w:val="30A46C"/>
                <w:sz w:val="22"/>
              </w:rPr>
              <w:t>+36.5%</w:t>
            </w:r>
          </w:p>
        </w:tc>
        <w:tc>
          <w:tcPr>
            <w:tcW w:type="dxa" w:w="1440"/>
          </w:tcPr>
          <w:p>
            <w:r>
              <w:rPr>
                <w:rFonts w:ascii="Calibri" w:hAnsi="Calibri"/>
                <w:b/>
                <w:color w:val="30A46C"/>
                <w:sz w:val="22"/>
              </w:rPr>
              <w:t>Beat</w:t>
            </w:r>
          </w:p>
        </w:tc>
      </w:tr>
      <w:tr>
        <w:tc>
          <w:tcPr>
            <w:tcW w:type="dxa" w:w="1440"/>
          </w:tcPr>
          <w:p>
            <w:r>
              <w:rPr>
                <w:rFonts w:ascii="Calibri" w:hAnsi="Calibri"/>
                <w:sz w:val="22"/>
              </w:rPr>
              <w:t>Q3 2025</w:t>
            </w:r>
          </w:p>
        </w:tc>
        <w:tc>
          <w:tcPr>
            <w:tcW w:type="dxa" w:w="1440"/>
          </w:tcPr>
          <w:p>
            <w:r>
              <w:rPr>
                <w:rFonts w:ascii="Calibri" w:hAnsi="Calibri"/>
                <w:sz w:val="22"/>
              </w:rPr>
              <w:t>Lumber ($/MBF)</w:t>
            </w:r>
          </w:p>
        </w:tc>
        <w:tc>
          <w:tcPr>
            <w:tcW w:type="dxa" w:w="1440"/>
          </w:tcPr>
          <w:p>
            <w:r>
              <w:rPr>
                <w:rFonts w:ascii="Calibri" w:hAnsi="Calibri"/>
                <w:sz w:val="22"/>
              </w:rPr>
              <w:t>$405</w:t>
            </w:r>
          </w:p>
        </w:tc>
        <w:tc>
          <w:tcPr>
            <w:tcW w:type="dxa" w:w="1440"/>
          </w:tcPr>
          <w:p>
            <w:r>
              <w:rPr>
                <w:rFonts w:ascii="Calibri" w:hAnsi="Calibri"/>
                <w:sz w:val="22"/>
              </w:rPr>
              <w:t>$402</w:t>
            </w:r>
          </w:p>
        </w:tc>
        <w:tc>
          <w:tcPr>
            <w:tcW w:type="dxa" w:w="1440"/>
          </w:tcPr>
          <w:p>
            <w:r>
              <w:rPr>
                <w:rFonts w:ascii="Calibri" w:hAnsi="Calibri"/>
                <w:b/>
                <w:color w:val="30A46C"/>
                <w:sz w:val="22"/>
              </w:rPr>
              <w:t>+0.7%</w:t>
            </w:r>
          </w:p>
        </w:tc>
        <w:tc>
          <w:tcPr>
            <w:tcW w:type="dxa" w:w="1440"/>
          </w:tcPr>
          <w:p>
            <w:r>
              <w:rPr>
                <w:rFonts w:ascii="Calibri" w:hAnsi="Calibri"/>
                <w:b/>
                <w:color w:val="30A46C"/>
                <w:sz w:val="22"/>
              </w:rPr>
              <w:t>Beat</w:t>
            </w:r>
          </w:p>
        </w:tc>
      </w:tr>
      <w:tr>
        <w:tc>
          <w:tcPr>
            <w:tcW w:type="dxa" w:w="1440"/>
          </w:tcPr>
          <w:p>
            <w:r>
              <w:rPr>
                <w:rFonts w:ascii="Calibri" w:hAnsi="Calibri"/>
                <w:sz w:val="22"/>
              </w:rPr>
              <w:t>Q2 2025</w:t>
            </w:r>
          </w:p>
        </w:tc>
        <w:tc>
          <w:tcPr>
            <w:tcW w:type="dxa" w:w="1440"/>
          </w:tcPr>
          <w:p>
            <w:r>
              <w:rPr>
                <w:rFonts w:ascii="Calibri" w:hAnsi="Calibri"/>
                <w:sz w:val="22"/>
              </w:rPr>
              <w:t>Adj. EBITDA ($M)</w:t>
            </w:r>
          </w:p>
        </w:tc>
        <w:tc>
          <w:tcPr>
            <w:tcW w:type="dxa" w:w="1440"/>
          </w:tcPr>
          <w:p>
            <w:r>
              <w:rPr>
                <w:rFonts w:ascii="Calibri" w:hAnsi="Calibri"/>
                <w:sz w:val="22"/>
              </w:rPr>
              <w:t>$336</w:t>
            </w:r>
          </w:p>
        </w:tc>
        <w:tc>
          <w:tcPr>
            <w:tcW w:type="dxa" w:w="1440"/>
          </w:tcPr>
          <w:p>
            <w:r>
              <w:rPr>
                <w:rFonts w:ascii="Calibri" w:hAnsi="Calibri"/>
                <w:sz w:val="22"/>
              </w:rPr>
              <w:t>$345</w:t>
            </w:r>
          </w:p>
        </w:tc>
        <w:tc>
          <w:tcPr>
            <w:tcW w:type="dxa" w:w="1440"/>
          </w:tcPr>
          <w:p>
            <w:r>
              <w:rPr>
                <w:rFonts w:ascii="Calibri" w:hAnsi="Calibri"/>
                <w:b/>
                <w:color w:val="E5484D"/>
                <w:sz w:val="22"/>
              </w:rPr>
              <w:t>−2.6%</w:t>
            </w:r>
          </w:p>
        </w:tc>
        <w:tc>
          <w:tcPr>
            <w:tcW w:type="dxa" w:w="1440"/>
          </w:tcPr>
          <w:p>
            <w:r>
              <w:rPr>
                <w:rFonts w:ascii="Calibri" w:hAnsi="Calibri"/>
                <w:b/>
                <w:color w:val="E5484D"/>
                <w:sz w:val="22"/>
              </w:rPr>
              <w:t>Miss</w:t>
            </w:r>
          </w:p>
        </w:tc>
      </w:tr>
      <w:tr>
        <w:tc>
          <w:tcPr>
            <w:tcW w:type="dxa" w:w="1440"/>
          </w:tcPr>
          <w:p>
            <w:r>
              <w:rPr>
                <w:rFonts w:ascii="Calibri" w:hAnsi="Calibri"/>
                <w:sz w:val="22"/>
              </w:rPr>
              <w:t>Q2 2025</w:t>
            </w:r>
          </w:p>
        </w:tc>
        <w:tc>
          <w:tcPr>
            <w:tcW w:type="dxa" w:w="1440"/>
          </w:tcPr>
          <w:p>
            <w:r>
              <w:rPr>
                <w:rFonts w:ascii="Calibri" w:hAnsi="Calibri"/>
                <w:sz w:val="22"/>
              </w:rPr>
              <w:t>Lumber ($/MBF)</w:t>
            </w:r>
          </w:p>
        </w:tc>
        <w:tc>
          <w:tcPr>
            <w:tcW w:type="dxa" w:w="1440"/>
          </w:tcPr>
          <w:p>
            <w:r>
              <w:rPr>
                <w:rFonts w:ascii="Calibri" w:hAnsi="Calibri"/>
                <w:sz w:val="22"/>
              </w:rPr>
              <w:t>$454</w:t>
            </w:r>
          </w:p>
        </w:tc>
        <w:tc>
          <w:tcPr>
            <w:tcW w:type="dxa" w:w="1440"/>
          </w:tcPr>
          <w:p>
            <w:r>
              <w:rPr>
                <w:rFonts w:ascii="Calibri" w:hAnsi="Calibri"/>
                <w:sz w:val="22"/>
              </w:rPr>
              <w:t>$464</w:t>
            </w:r>
          </w:p>
        </w:tc>
        <w:tc>
          <w:tcPr>
            <w:tcW w:type="dxa" w:w="1440"/>
          </w:tcPr>
          <w:p>
            <w:r>
              <w:rPr>
                <w:rFonts w:ascii="Calibri" w:hAnsi="Calibri"/>
                <w:b/>
                <w:color w:val="E5484D"/>
                <w:sz w:val="22"/>
              </w:rPr>
              <w:t>−2.2%</w:t>
            </w:r>
          </w:p>
        </w:tc>
        <w:tc>
          <w:tcPr>
            <w:tcW w:type="dxa" w:w="1440"/>
          </w:tcPr>
          <w:p>
            <w:r>
              <w:rPr>
                <w:rFonts w:ascii="Calibri" w:hAnsi="Calibri"/>
                <w:b/>
                <w:color w:val="E5484D"/>
                <w:sz w:val="22"/>
              </w:rPr>
              <w:t>Miss</w:t>
            </w:r>
          </w:p>
        </w:tc>
      </w:tr>
      <w:tr>
        <w:tc>
          <w:tcPr>
            <w:tcW w:type="dxa" w:w="1440"/>
          </w:tcPr>
          <w:p>
            <w:r>
              <w:rPr>
                <w:rFonts w:ascii="Calibri" w:hAnsi="Calibri"/>
                <w:sz w:val="22"/>
              </w:rPr>
              <w:t>Q1 2025</w:t>
            </w:r>
          </w:p>
        </w:tc>
        <w:tc>
          <w:tcPr>
            <w:tcW w:type="dxa" w:w="1440"/>
          </w:tcPr>
          <w:p>
            <w:r>
              <w:rPr>
                <w:rFonts w:ascii="Calibri" w:hAnsi="Calibri"/>
                <w:sz w:val="22"/>
              </w:rPr>
              <w:t>Adj. EBITDA ($M)</w:t>
            </w:r>
          </w:p>
        </w:tc>
        <w:tc>
          <w:tcPr>
            <w:tcW w:type="dxa" w:w="1440"/>
          </w:tcPr>
          <w:p>
            <w:r>
              <w:rPr>
                <w:rFonts w:ascii="Calibri" w:hAnsi="Calibri"/>
                <w:sz w:val="22"/>
              </w:rPr>
              <w:t>$328</w:t>
            </w:r>
          </w:p>
        </w:tc>
        <w:tc>
          <w:tcPr>
            <w:tcW w:type="dxa" w:w="1440"/>
          </w:tcPr>
          <w:p>
            <w:r>
              <w:rPr>
                <w:rFonts w:ascii="Calibri" w:hAnsi="Calibri"/>
                <w:sz w:val="22"/>
              </w:rPr>
              <w:t>$311</w:t>
            </w:r>
          </w:p>
        </w:tc>
        <w:tc>
          <w:tcPr>
            <w:tcW w:type="dxa" w:w="1440"/>
          </w:tcPr>
          <w:p>
            <w:r>
              <w:rPr>
                <w:rFonts w:ascii="Calibri" w:hAnsi="Calibri"/>
                <w:b/>
                <w:color w:val="30A46C"/>
                <w:sz w:val="22"/>
              </w:rPr>
              <w:t>+5.5%</w:t>
            </w:r>
          </w:p>
        </w:tc>
        <w:tc>
          <w:tcPr>
            <w:tcW w:type="dxa" w:w="1440"/>
          </w:tcPr>
          <w:p>
            <w:r>
              <w:rPr>
                <w:rFonts w:ascii="Calibri" w:hAnsi="Calibri"/>
                <w:b/>
                <w:color w:val="30A46C"/>
                <w:sz w:val="22"/>
              </w:rPr>
              <w:t>Beat</w:t>
            </w:r>
          </w:p>
        </w:tc>
      </w:tr>
      <w:tr>
        <w:tc>
          <w:tcPr>
            <w:tcW w:type="dxa" w:w="1440"/>
          </w:tcPr>
          <w:p>
            <w:r>
              <w:rPr>
                <w:rFonts w:ascii="Calibri" w:hAnsi="Calibri"/>
                <w:sz w:val="22"/>
              </w:rPr>
              <w:t>Q1 2025</w:t>
            </w:r>
          </w:p>
        </w:tc>
        <w:tc>
          <w:tcPr>
            <w:tcW w:type="dxa" w:w="1440"/>
          </w:tcPr>
          <w:p>
            <w:r>
              <w:rPr>
                <w:rFonts w:ascii="Calibri" w:hAnsi="Calibri"/>
                <w:sz w:val="22"/>
              </w:rPr>
              <w:t>Lumber ($/MBF)</w:t>
            </w:r>
          </w:p>
        </w:tc>
        <w:tc>
          <w:tcPr>
            <w:tcW w:type="dxa" w:w="1440"/>
          </w:tcPr>
          <w:p>
            <w:r>
              <w:rPr>
                <w:rFonts w:ascii="Calibri" w:hAnsi="Calibri"/>
                <w:sz w:val="22"/>
              </w:rPr>
              <w:t>$463</w:t>
            </w:r>
          </w:p>
        </w:tc>
        <w:tc>
          <w:tcPr>
            <w:tcW w:type="dxa" w:w="1440"/>
          </w:tcPr>
          <w:p>
            <w:r>
              <w:rPr>
                <w:rFonts w:ascii="Calibri" w:hAnsi="Calibri"/>
                <w:sz w:val="22"/>
              </w:rPr>
              <w:t>$454</w:t>
            </w:r>
          </w:p>
        </w:tc>
        <w:tc>
          <w:tcPr>
            <w:tcW w:type="dxa" w:w="1440"/>
          </w:tcPr>
          <w:p>
            <w:r>
              <w:rPr>
                <w:rFonts w:ascii="Calibri" w:hAnsi="Calibri"/>
                <w:b/>
                <w:color w:val="30A46C"/>
                <w:sz w:val="22"/>
              </w:rPr>
              <w:t>+2.0%</w:t>
            </w:r>
          </w:p>
        </w:tc>
        <w:tc>
          <w:tcPr>
            <w:tcW w:type="dxa" w:w="1440"/>
          </w:tcPr>
          <w:p>
            <w:r>
              <w:rPr>
                <w:rFonts w:ascii="Calibri" w:hAnsi="Calibri"/>
                <w:b/>
                <w:color w:val="30A46C"/>
                <w:sz w:val="22"/>
              </w:rPr>
              <w:t>Beat</w:t>
            </w:r>
          </w:p>
        </w:tc>
      </w:tr>
      <w:tr>
        <w:tc>
          <w:tcPr>
            <w:tcW w:type="dxa" w:w="1440"/>
          </w:tcPr>
          <w:p>
            <w:r>
              <w:rPr>
                <w:rFonts w:ascii="Calibri" w:hAnsi="Calibri"/>
                <w:sz w:val="22"/>
              </w:rPr>
              <w:t>Q4 2024</w:t>
            </w:r>
          </w:p>
        </w:tc>
        <w:tc>
          <w:tcPr>
            <w:tcW w:type="dxa" w:w="1440"/>
          </w:tcPr>
          <w:p>
            <w:r>
              <w:rPr>
                <w:rFonts w:ascii="Calibri" w:hAnsi="Calibri"/>
                <w:sz w:val="22"/>
              </w:rPr>
              <w:t>Adj. EBITDA ($M)</w:t>
            </w:r>
          </w:p>
        </w:tc>
        <w:tc>
          <w:tcPr>
            <w:tcW w:type="dxa" w:w="1440"/>
          </w:tcPr>
          <w:p>
            <w:r>
              <w:rPr>
                <w:rFonts w:ascii="Calibri" w:hAnsi="Calibri"/>
                <w:sz w:val="22"/>
              </w:rPr>
              <w:t>$294</w:t>
            </w:r>
          </w:p>
        </w:tc>
        <w:tc>
          <w:tcPr>
            <w:tcW w:type="dxa" w:w="1440"/>
          </w:tcPr>
          <w:p>
            <w:r>
              <w:rPr>
                <w:rFonts w:ascii="Calibri" w:hAnsi="Calibri"/>
                <w:sz w:val="22"/>
              </w:rPr>
              <w:t>$273</w:t>
            </w:r>
          </w:p>
        </w:tc>
        <w:tc>
          <w:tcPr>
            <w:tcW w:type="dxa" w:w="1440"/>
          </w:tcPr>
          <w:p>
            <w:r>
              <w:rPr>
                <w:rFonts w:ascii="Calibri" w:hAnsi="Calibri"/>
                <w:b/>
                <w:color w:val="30A46C"/>
                <w:sz w:val="22"/>
              </w:rPr>
              <w:t>+7.7%</w:t>
            </w:r>
          </w:p>
        </w:tc>
        <w:tc>
          <w:tcPr>
            <w:tcW w:type="dxa" w:w="1440"/>
          </w:tcPr>
          <w:p>
            <w:r>
              <w:rPr>
                <w:rFonts w:ascii="Calibri" w:hAnsi="Calibri"/>
                <w:b/>
                <w:color w:val="30A46C"/>
                <w:sz w:val="22"/>
              </w:rPr>
              <w:t>Beat</w:t>
            </w:r>
          </w:p>
        </w:tc>
      </w:tr>
      <w:tr>
        <w:tc>
          <w:tcPr>
            <w:tcW w:type="dxa" w:w="1440"/>
          </w:tcPr>
          <w:p>
            <w:r>
              <w:rPr>
                <w:rFonts w:ascii="Calibri" w:hAnsi="Calibri"/>
                <w:sz w:val="22"/>
              </w:rPr>
              <w:t>Q4 2024</w:t>
            </w:r>
          </w:p>
        </w:tc>
        <w:tc>
          <w:tcPr>
            <w:tcW w:type="dxa" w:w="1440"/>
          </w:tcPr>
          <w:p>
            <w:r>
              <w:rPr>
                <w:rFonts w:ascii="Calibri" w:hAnsi="Calibri"/>
                <w:sz w:val="22"/>
              </w:rPr>
              <w:t>Lumber ($/MBF)</w:t>
            </w:r>
          </w:p>
        </w:tc>
        <w:tc>
          <w:tcPr>
            <w:tcW w:type="dxa" w:w="1440"/>
          </w:tcPr>
          <w:p>
            <w:r>
              <w:rPr>
                <w:rFonts w:ascii="Calibri" w:hAnsi="Calibri"/>
                <w:sz w:val="22"/>
              </w:rPr>
              <w:t>$442</w:t>
            </w:r>
          </w:p>
        </w:tc>
        <w:tc>
          <w:tcPr>
            <w:tcW w:type="dxa" w:w="1440"/>
          </w:tcPr>
          <w:p>
            <w:r>
              <w:rPr>
                <w:rFonts w:ascii="Calibri" w:hAnsi="Calibri"/>
                <w:sz w:val="22"/>
              </w:rPr>
              <w:t>$440</w:t>
            </w:r>
          </w:p>
        </w:tc>
        <w:tc>
          <w:tcPr>
            <w:tcW w:type="dxa" w:w="1440"/>
          </w:tcPr>
          <w:p>
            <w:r>
              <w:rPr>
                <w:rFonts w:ascii="Calibri" w:hAnsi="Calibri"/>
                <w:b/>
                <w:color w:val="30A46C"/>
                <w:sz w:val="22"/>
              </w:rPr>
              <w:t>+0.5%</w:t>
            </w:r>
          </w:p>
        </w:tc>
        <w:tc>
          <w:tcPr>
            <w:tcW w:type="dxa" w:w="1440"/>
          </w:tcPr>
          <w:p>
            <w:r>
              <w:rPr>
                <w:rFonts w:ascii="Calibri" w:hAnsi="Calibri"/>
                <w:b/>
                <w:color w:val="30A46C"/>
                <w:sz w:val="22"/>
              </w:rPr>
              <w:t>Beat</w:t>
            </w:r>
          </w:p>
        </w:tc>
      </w:tr>
      <w:tr>
        <w:tc>
          <w:tcPr>
            <w:tcW w:type="dxa" w:w="1440"/>
          </w:tcPr>
          <w:p>
            <w:r>
              <w:rPr>
                <w:rFonts w:ascii="Calibri" w:hAnsi="Calibri"/>
                <w:sz w:val="22"/>
              </w:rPr>
              <w:t>Q3 2024</w:t>
            </w:r>
          </w:p>
        </w:tc>
        <w:tc>
          <w:tcPr>
            <w:tcW w:type="dxa" w:w="1440"/>
          </w:tcPr>
          <w:p>
            <w:r>
              <w:rPr>
                <w:rFonts w:ascii="Calibri" w:hAnsi="Calibri"/>
                <w:sz w:val="22"/>
              </w:rPr>
              <w:t>Adj. EBITDA ($M)</w:t>
            </w:r>
          </w:p>
        </w:tc>
        <w:tc>
          <w:tcPr>
            <w:tcW w:type="dxa" w:w="1440"/>
          </w:tcPr>
          <w:p>
            <w:r>
              <w:rPr>
                <w:rFonts w:ascii="Calibri" w:hAnsi="Calibri"/>
                <w:sz w:val="22"/>
              </w:rPr>
              <w:t>$236</w:t>
            </w:r>
          </w:p>
        </w:tc>
        <w:tc>
          <w:tcPr>
            <w:tcW w:type="dxa" w:w="1440"/>
          </w:tcPr>
          <w:p>
            <w:r>
              <w:rPr>
                <w:rFonts w:ascii="Calibri" w:hAnsi="Calibri"/>
                <w:sz w:val="22"/>
              </w:rPr>
              <w:t>$214</w:t>
            </w:r>
          </w:p>
        </w:tc>
        <w:tc>
          <w:tcPr>
            <w:tcW w:type="dxa" w:w="1440"/>
          </w:tcPr>
          <w:p>
            <w:r>
              <w:rPr>
                <w:rFonts w:ascii="Calibri" w:hAnsi="Calibri"/>
                <w:b/>
                <w:color w:val="30A46C"/>
                <w:sz w:val="22"/>
              </w:rPr>
              <w:t>+10.3%</w:t>
            </w:r>
          </w:p>
        </w:tc>
        <w:tc>
          <w:tcPr>
            <w:tcW w:type="dxa" w:w="1440"/>
          </w:tcPr>
          <w:p>
            <w:r>
              <w:rPr>
                <w:rFonts w:ascii="Calibri" w:hAnsi="Calibri"/>
                <w:b/>
                <w:color w:val="30A46C"/>
                <w:sz w:val="22"/>
              </w:rPr>
              <w:t>Beat</w:t>
            </w:r>
          </w:p>
        </w:tc>
      </w:tr>
      <w:tr>
        <w:tc>
          <w:tcPr>
            <w:tcW w:type="dxa" w:w="1440"/>
          </w:tcPr>
          <w:p>
            <w:r>
              <w:rPr>
                <w:rFonts w:ascii="Calibri" w:hAnsi="Calibri"/>
                <w:sz w:val="22"/>
              </w:rPr>
              <w:t>Q3 2024</w:t>
            </w:r>
          </w:p>
        </w:tc>
        <w:tc>
          <w:tcPr>
            <w:tcW w:type="dxa" w:w="1440"/>
          </w:tcPr>
          <w:p>
            <w:r>
              <w:rPr>
                <w:rFonts w:ascii="Calibri" w:hAnsi="Calibri"/>
                <w:sz w:val="22"/>
              </w:rPr>
              <w:t>Lumber ($/MBF)</w:t>
            </w:r>
          </w:p>
        </w:tc>
        <w:tc>
          <w:tcPr>
            <w:tcW w:type="dxa" w:w="1440"/>
          </w:tcPr>
          <w:p>
            <w:r>
              <w:rPr>
                <w:rFonts w:ascii="Calibri" w:hAnsi="Calibri"/>
                <w:sz w:val="22"/>
              </w:rPr>
              <w:t>$404</w:t>
            </w:r>
          </w:p>
        </w:tc>
        <w:tc>
          <w:tcPr>
            <w:tcW w:type="dxa" w:w="1440"/>
          </w:tcPr>
          <w:p>
            <w:r>
              <w:rPr>
                <w:rFonts w:ascii="Calibri" w:hAnsi="Calibri"/>
                <w:sz w:val="22"/>
              </w:rPr>
              <w:t>$407</w:t>
            </w:r>
          </w:p>
        </w:tc>
        <w:tc>
          <w:tcPr>
            <w:tcW w:type="dxa" w:w="1440"/>
          </w:tcPr>
          <w:p>
            <w:r>
              <w:rPr>
                <w:rFonts w:ascii="Calibri" w:hAnsi="Calibri"/>
                <w:b/>
                <w:color w:val="E5484D"/>
                <w:sz w:val="22"/>
              </w:rPr>
              <w:t>−0.7%</w:t>
            </w:r>
          </w:p>
        </w:tc>
        <w:tc>
          <w:tcPr>
            <w:tcW w:type="dxa" w:w="1440"/>
          </w:tcPr>
          <w:p>
            <w:r>
              <w:rPr>
                <w:rFonts w:ascii="Calibri" w:hAnsi="Calibri"/>
                <w:b/>
                <w:color w:val="E5484D"/>
                <w:sz w:val="22"/>
              </w:rPr>
              <w:t>Miss</w:t>
            </w:r>
          </w:p>
        </w:tc>
      </w:tr>
    </w:tbl>
    <w:p>
      <w:r>
        <w:rPr>
          <w:rFonts w:ascii="Calibri" w:hAnsi="Calibri"/>
          <w:b/>
          <w:color w:val="525866"/>
          <w:sz w:val="22"/>
        </w:rPr>
        <w:t xml:space="preserve">Pattern: </w:t>
      </w:r>
      <w:r>
        <w:rPr>
          <w:rFonts w:ascii="Calibri" w:hAnsi="Calibri"/>
          <w:i/>
          <w:color w:val="525866"/>
          <w:sz w:val="22"/>
        </w:rPr>
        <w:t>WY has beaten Adjusted EBITDA consensus in 7 of the last 8 quarters, with the sole miss in Q2 2025 driven by softer-than-expected SLS timing. Lumber realization beats are narrower (typically 0–2%), suggesting the Street prices commodity pricing reasonably well; the EBITDA beats are driven more by SLS timing and cost outperformance. Source: Visible Alpha Consensus and Actuals Data.</w:t>
      </w:r>
    </w:p>
    <w:p>
      <w:r>
        <w:br w:type="page"/>
      </w:r>
    </w:p>
    <w:p>
      <w:pPr>
        <w:pStyle w:val="Heading2"/>
      </w:pPr>
      <w:r>
        <w:rPr>
          <w:rFonts w:ascii="Calibri" w:hAnsi="Calibri"/>
          <w:b/>
          <w:color w:val="3B4259"/>
          <w:sz w:val="28"/>
        </w:rPr>
        <w:t>3. Guidance &amp; Commentary Evolution</w:t>
      </w:r>
    </w:p>
    <w:p>
      <w:r>
        <w:rPr>
          <w:rFonts w:ascii="Calibri" w:hAnsi="Calibri"/>
          <w:b/>
          <w:color w:val="525866"/>
          <w:sz w:val="22"/>
        </w:rPr>
        <w:t xml:space="preserve">Key Takeaway: </w:t>
      </w:r>
      <w:r>
        <w:rPr>
          <w:rFonts w:ascii="Calibri" w:hAnsi="Calibri"/>
          <w:color w:val="525866"/>
          <w:sz w:val="22"/>
        </w:rPr>
        <w:t xml:space="preserve">Guidance has been </w:t>
      </w:r>
      <w:r>
        <w:rPr>
          <w:rFonts w:ascii="Calibri" w:hAnsi="Calibri"/>
          <w:b/>
          <w:color w:val="525866"/>
          <w:sz w:val="22"/>
        </w:rPr>
        <w:t>revised down for Wood Products</w:t>
      </w:r>
      <w:r>
        <w:rPr>
          <w:rFonts w:ascii="Calibri" w:hAnsi="Calibri"/>
          <w:color w:val="525866"/>
          <w:sz w:val="22"/>
        </w:rPr>
        <w:t xml:space="preserve"> since Q1 earnings via the June 25 investor presentation — the first post-earnings guidance update — while Timberlands and SLS remain unchanged. The revision reflects a real operational headwind (transportation constraints in the U.S. South) that is partially offset by stronger-than-expected lumber pricing.</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Metric</w:t>
            </w:r>
          </w:p>
        </w:tc>
        <w:tc>
          <w:tcPr>
            <w:tcW w:type="dxa" w:w="1728"/>
            <w:shd w:val="clear" w:color="auto" w:fill="3B4259"/>
          </w:tcPr>
          <w:p>
            <w:r>
              <w:rPr>
                <w:rFonts w:ascii="Calibri" w:hAnsi="Calibri"/>
                <w:b/>
                <w:color w:val="FFFFFF"/>
                <w:sz w:val="22"/>
              </w:rPr>
              <w:t>Initial Guidance (Q1 2026 Earnings Call, May 1)</w:t>
            </w:r>
          </w:p>
        </w:tc>
        <w:tc>
          <w:tcPr>
            <w:tcW w:type="dxa" w:w="1728"/>
            <w:shd w:val="clear" w:color="auto" w:fill="3B4259"/>
          </w:tcPr>
          <w:p>
            <w:r>
              <w:rPr>
                <w:rFonts w:ascii="Calibri" w:hAnsi="Calibri"/>
                <w:b/>
                <w:color w:val="FFFFFF"/>
                <w:sz w:val="22"/>
              </w:rPr>
              <w:t>Revised Guidance</w:t>
            </w:r>
          </w:p>
        </w:tc>
        <w:tc>
          <w:tcPr>
            <w:tcW w:type="dxa" w:w="1728"/>
            <w:shd w:val="clear" w:color="auto" w:fill="3B4259"/>
          </w:tcPr>
          <w:p>
            <w:r>
              <w:rPr>
                <w:rFonts w:ascii="Calibri" w:hAnsi="Calibri"/>
                <w:b/>
                <w:color w:val="FFFFFF"/>
                <w:sz w:val="22"/>
              </w:rPr>
              <w:t>Current Consensus</w:t>
            </w:r>
          </w:p>
        </w:tc>
        <w:tc>
          <w:tcPr>
            <w:tcW w:type="dxa" w:w="1728"/>
            <w:shd w:val="clear" w:color="auto" w:fill="3B4259"/>
          </w:tcPr>
          <w:p>
            <w:r>
              <w:rPr>
                <w:rFonts w:ascii="Calibri" w:hAnsi="Calibri"/>
                <w:b/>
                <w:color w:val="FFFFFF"/>
                <w:sz w:val="22"/>
              </w:rPr>
              <w:t>Note</w:t>
            </w:r>
          </w:p>
        </w:tc>
      </w:tr>
      <w:tr>
        <w:tc>
          <w:tcPr>
            <w:tcW w:type="dxa" w:w="1728"/>
          </w:tcPr>
          <w:p>
            <w:r>
              <w:rPr>
                <w:rFonts w:ascii="Calibri" w:hAnsi="Calibri"/>
                <w:sz w:val="22"/>
              </w:rPr>
              <w:t>Wood Products Adj. EBITDA (Q2)</w:t>
            </w:r>
          </w:p>
        </w:tc>
        <w:tc>
          <w:tcPr>
            <w:tcW w:type="dxa" w:w="1728"/>
          </w:tcPr>
          <w:p>
            <w:r>
              <w:rPr>
                <w:rFonts w:ascii="Calibri" w:hAnsi="Calibri"/>
                <w:sz w:val="22"/>
              </w:rPr>
              <w:t>Comparable to Q1 ($71M) ex-pricing changes</w:t>
            </w:r>
          </w:p>
        </w:tc>
        <w:tc>
          <w:tcPr>
            <w:tcW w:type="dxa" w:w="1728"/>
          </w:tcPr>
          <w:p>
            <w:r>
              <w:rPr>
                <w:rFonts w:ascii="Calibri" w:hAnsi="Calibri"/>
                <w:sz w:val="22"/>
              </w:rPr>
              <w:t>~$20M lower than Q1 ex-pricing (i.e., ~$51M ex-pricing)</w:t>
            </w:r>
          </w:p>
        </w:tc>
        <w:tc>
          <w:tcPr>
            <w:tcW w:type="dxa" w:w="1728"/>
          </w:tcPr>
          <w:p>
            <w:r>
              <w:rPr>
                <w:rFonts w:ascii="Calibri" w:hAnsi="Calibri"/>
                <w:sz w:val="22"/>
              </w:rPr>
              <w:t>$128M (includes ~$70M lumber price tailwind)</w:t>
            </w:r>
          </w:p>
        </w:tc>
        <w:tc>
          <w:tcPr>
            <w:tcW w:type="dxa" w:w="1728"/>
          </w:tcPr>
          <w:p>
            <w:r>
              <w:rPr>
                <w:rFonts w:ascii="Calibri" w:hAnsi="Calibri"/>
                <w:sz w:val="22"/>
              </w:rPr>
              <w:t>↓ Lowered via June 25 Investor Presentation; lower lumber volumes and higher unit costs from U.S. South transportation constraints; trucking costs partially passed to customers via delivered price</w:t>
            </w:r>
          </w:p>
        </w:tc>
      </w:tr>
      <w:tr>
        <w:tc>
          <w:tcPr>
            <w:tcW w:type="dxa" w:w="1728"/>
          </w:tcPr>
          <w:p>
            <w:r>
              <w:rPr>
                <w:rFonts w:ascii="Calibri" w:hAnsi="Calibri"/>
                <w:sz w:val="22"/>
              </w:rPr>
              <w:t>Lumber Realization QTD vs. Q1 Avg</w:t>
            </w:r>
          </w:p>
        </w:tc>
        <w:tc>
          <w:tcPr>
            <w:tcW w:type="dxa" w:w="1728"/>
          </w:tcPr>
          <w:p>
            <w:r>
              <w:rPr>
                <w:rFonts w:ascii="Calibri" w:hAnsi="Calibri"/>
                <w:sz w:val="22"/>
              </w:rPr>
              <w:t>Significantly higher than Q1 average (May 1 call)</w:t>
            </w:r>
          </w:p>
        </w:tc>
        <w:tc>
          <w:tcPr>
            <w:tcW w:type="dxa" w:w="1728"/>
          </w:tcPr>
          <w:p>
            <w:r>
              <w:rPr>
                <w:rFonts w:ascii="Calibri" w:hAnsi="Calibri"/>
                <w:sz w:val="22"/>
              </w:rPr>
              <w:t>+$65/MBF QTD; +$60/MBF current (June 19 data)</w:t>
            </w:r>
          </w:p>
        </w:tc>
        <w:tc>
          <w:tcPr>
            <w:tcW w:type="dxa" w:w="1728"/>
          </w:tcPr>
          <w:p>
            <w:r>
              <w:rPr>
                <w:rFonts w:ascii="Calibri" w:hAnsi="Calibri"/>
                <w:sz w:val="22"/>
              </w:rPr>
              <w:t>$501/MBF consensus</w:t>
            </w:r>
          </w:p>
        </w:tc>
        <w:tc>
          <w:tcPr>
            <w:tcW w:type="dxa" w:w="1728"/>
          </w:tcPr>
          <w:p>
            <w:r>
              <w:rPr>
                <w:rFonts w:ascii="Calibri" w:hAnsi="Calibri"/>
                <w:sz w:val="22"/>
              </w:rPr>
              <w:t>↑ Updated June 25; ~$70M estimated Q2 Lumber Adj. EBITDA increase over Q1 from pricing alone</w:t>
            </w:r>
          </w:p>
        </w:tc>
      </w:tr>
      <w:tr>
        <w:tc>
          <w:tcPr>
            <w:tcW w:type="dxa" w:w="1728"/>
          </w:tcPr>
          <w:p>
            <w:r>
              <w:rPr>
                <w:rFonts w:ascii="Calibri" w:hAnsi="Calibri"/>
                <w:sz w:val="22"/>
              </w:rPr>
              <w:t>OSB Realization QTD vs. Q1 Avg</w:t>
            </w:r>
          </w:p>
        </w:tc>
        <w:tc>
          <w:tcPr>
            <w:tcW w:type="dxa" w:w="1728"/>
          </w:tcPr>
          <w:p>
            <w:r>
              <w:rPr>
                <w:rFonts w:ascii="Calibri" w:hAnsi="Calibri"/>
                <w:sz w:val="22"/>
              </w:rPr>
              <w:t>Slightly higher than Q1 (May 1 call)</w:t>
            </w:r>
          </w:p>
        </w:tc>
        <w:tc>
          <w:tcPr>
            <w:tcW w:type="dxa" w:w="1728"/>
          </w:tcPr>
          <w:p>
            <w:r>
              <w:rPr>
                <w:rFonts w:ascii="Calibri" w:hAnsi="Calibri"/>
                <w:sz w:val="22"/>
              </w:rPr>
              <w:t>QTD +$5/MSF; current comparable to Q1 (June 19 data)</w:t>
            </w:r>
          </w:p>
        </w:tc>
        <w:tc>
          <w:tcPr>
            <w:tcW w:type="dxa" w:w="1728"/>
          </w:tcPr>
          <w:p>
            <w:r>
              <w:rPr>
                <w:rFonts w:ascii="Calibri" w:hAnsi="Calibri"/>
                <w:sz w:val="22"/>
              </w:rPr>
              <w:t>$244/MSF consensus</w:t>
            </w:r>
          </w:p>
        </w:tc>
        <w:tc>
          <w:tcPr>
            <w:tcW w:type="dxa" w:w="1728"/>
          </w:tcPr>
          <w:p>
            <w:r>
              <w:rPr>
                <w:rFonts w:ascii="Calibri" w:hAnsi="Calibri"/>
                <w:sz w:val="22"/>
              </w:rPr>
              <w:t>Updated June 25; OSB pricing momentum faded through the quarter</w:t>
            </w:r>
          </w:p>
        </w:tc>
      </w:tr>
      <w:tr>
        <w:tc>
          <w:tcPr>
            <w:tcW w:type="dxa" w:w="1728"/>
          </w:tcPr>
          <w:p>
            <w:r>
              <w:rPr>
                <w:rFonts w:ascii="Calibri" w:hAnsi="Calibri"/>
                <w:sz w:val="22"/>
              </w:rPr>
              <w:t>Timberlands Adj. EBITDA (Q2)</w:t>
            </w:r>
          </w:p>
        </w:tc>
        <w:tc>
          <w:tcPr>
            <w:tcW w:type="dxa" w:w="1728"/>
          </w:tcPr>
          <w:p>
            <w:r>
              <w:rPr>
                <w:rFonts w:ascii="Calibri" w:hAnsi="Calibri"/>
                <w:sz w:val="22"/>
              </w:rPr>
              <w:t>Comparable to Q1 ($120M)</w:t>
            </w:r>
          </w:p>
        </w:tc>
        <w:tc>
          <w:tcPr>
            <w:tcW w:type="dxa" w:w="1728"/>
          </w:tcPr>
          <w:p>
            <w:r>
              <w:rPr>
                <w:rFonts w:ascii="Calibri" w:hAnsi="Calibri"/>
                <w:sz w:val="22"/>
              </w:rPr>
              <w:t>Unchanged</w:t>
            </w:r>
          </w:p>
        </w:tc>
        <w:tc>
          <w:tcPr>
            <w:tcW w:type="dxa" w:w="1728"/>
          </w:tcPr>
          <w:p>
            <w:r>
              <w:rPr>
                <w:rFonts w:ascii="Calibri" w:hAnsi="Calibri"/>
                <w:sz w:val="22"/>
              </w:rPr>
              <w:t>$121M consensus</w:t>
            </w:r>
          </w:p>
        </w:tc>
        <w:tc>
          <w:tcPr>
            <w:tcW w:type="dxa" w:w="1728"/>
          </w:tcPr>
          <w:p>
            <w:r>
              <w:rPr>
                <w:rFonts w:ascii="Calibri" w:hAnsi="Calibri"/>
                <w:sz w:val="22"/>
              </w:rPr>
              <w:t>No change since Q1 call; fuel cost headwinds flagged but offset by seasonal volume pickup</w:t>
            </w:r>
          </w:p>
        </w:tc>
      </w:tr>
      <w:tr>
        <w:tc>
          <w:tcPr>
            <w:tcW w:type="dxa" w:w="1728"/>
          </w:tcPr>
          <w:p>
            <w:r>
              <w:rPr>
                <w:rFonts w:ascii="Calibri" w:hAnsi="Calibri"/>
                <w:sz w:val="22"/>
              </w:rPr>
              <w:t>SLS Adj. EBITDA (Q2)</w:t>
            </w:r>
          </w:p>
        </w:tc>
        <w:tc>
          <w:tcPr>
            <w:tcW w:type="dxa" w:w="1728"/>
          </w:tcPr>
          <w:p>
            <w:r>
              <w:rPr>
                <w:rFonts w:ascii="Calibri" w:hAnsi="Calibri"/>
                <w:sz w:val="22"/>
              </w:rPr>
              <w:t>~$70M lower than Q1 ($193M); i.e., ~$123M</w:t>
            </w:r>
          </w:p>
        </w:tc>
        <w:tc>
          <w:tcPr>
            <w:tcW w:type="dxa" w:w="1728"/>
          </w:tcPr>
          <w:p>
            <w:r>
              <w:rPr>
                <w:rFonts w:ascii="Calibri" w:hAnsi="Calibri"/>
                <w:sz w:val="22"/>
              </w:rPr>
              <w:t>Unchanged</w:t>
            </w:r>
          </w:p>
        </w:tc>
        <w:tc>
          <w:tcPr>
            <w:tcW w:type="dxa" w:w="1728"/>
          </w:tcPr>
          <w:p>
            <w:r>
              <w:rPr>
                <w:rFonts w:ascii="Calibri" w:hAnsi="Calibri"/>
                <w:sz w:val="22"/>
              </w:rPr>
              <w:t>$123M consensus</w:t>
            </w:r>
          </w:p>
        </w:tc>
        <w:tc>
          <w:tcPr>
            <w:tcW w:type="dxa" w:w="1728"/>
          </w:tcPr>
          <w:p>
            <w:r>
              <w:rPr>
                <w:rFonts w:ascii="Calibri" w:hAnsi="Calibri"/>
                <w:sz w:val="22"/>
              </w:rPr>
              <w:t>No change; real estate markets described as solid with consistent transaction flow</w:t>
            </w:r>
          </w:p>
        </w:tc>
      </w:tr>
      <w:tr>
        <w:tc>
          <w:tcPr>
            <w:tcW w:type="dxa" w:w="1728"/>
          </w:tcPr>
          <w:p>
            <w:r>
              <w:rPr>
                <w:rFonts w:ascii="Calibri" w:hAnsi="Calibri"/>
                <w:sz w:val="22"/>
              </w:rPr>
              <w:t>Full-Year SLS Adj. EBITDA</w:t>
            </w:r>
          </w:p>
        </w:tc>
        <w:tc>
          <w:tcPr>
            <w:tcW w:type="dxa" w:w="1728"/>
          </w:tcPr>
          <w:p>
            <w:r>
              <w:rPr>
                <w:rFonts w:ascii="Calibri" w:hAnsi="Calibri"/>
                <w:sz w:val="22"/>
              </w:rPr>
              <w:t>~$425M; basis 20–30% of total SLS sales</w:t>
            </w:r>
          </w:p>
        </w:tc>
        <w:tc>
          <w:tcPr>
            <w:tcW w:type="dxa" w:w="1728"/>
          </w:tcPr>
          <w:p>
            <w:r>
              <w:rPr>
                <w:rFonts w:ascii="Calibri" w:hAnsi="Calibri"/>
                <w:sz w:val="22"/>
              </w:rPr>
              <w:t>Unchanged</w:t>
            </w:r>
          </w:p>
        </w:tc>
        <w:tc>
          <w:tcPr>
            <w:tcW w:type="dxa" w:w="1728"/>
          </w:tcPr>
          <w:p>
            <w:r>
              <w:rPr>
                <w:rFonts w:ascii="Calibri" w:hAnsi="Calibri"/>
                <w:sz w:val="22"/>
              </w:rPr>
              <w:t>$426M consensus</w:t>
            </w:r>
          </w:p>
        </w:tc>
        <w:tc>
          <w:tcPr>
            <w:tcW w:type="dxa" w:w="1728"/>
          </w:tcPr>
          <w:p>
            <w:r>
              <w:rPr>
                <w:rFonts w:ascii="Calibri" w:hAnsi="Calibri"/>
                <w:sz w:val="22"/>
              </w:rPr>
              <w:t>Maintained at Q1 call; consensus essentially at guidance midpoint</w:t>
            </w:r>
          </w:p>
        </w:tc>
      </w:tr>
      <w:tr>
        <w:tc>
          <w:tcPr>
            <w:tcW w:type="dxa" w:w="1728"/>
          </w:tcPr>
          <w:p>
            <w:r>
              <w:rPr>
                <w:rFonts w:ascii="Calibri" w:hAnsi="Calibri"/>
                <w:sz w:val="22"/>
              </w:rPr>
              <w:t>Monticello CapEx (FY2026)</w:t>
            </w:r>
          </w:p>
        </w:tc>
        <w:tc>
          <w:tcPr>
            <w:tcW w:type="dxa" w:w="1728"/>
          </w:tcPr>
          <w:p>
            <w:r>
              <w:rPr>
                <w:rFonts w:ascii="Calibri" w:hAnsi="Calibri"/>
                <w:sz w:val="22"/>
              </w:rPr>
              <w:t>~$300M (excluded from adjusted FAD)</w:t>
            </w:r>
          </w:p>
        </w:tc>
        <w:tc>
          <w:tcPr>
            <w:tcW w:type="dxa" w:w="1728"/>
          </w:tcPr>
          <w:p>
            <w:r>
              <w:rPr>
                <w:rFonts w:ascii="Calibri" w:hAnsi="Calibri"/>
                <w:sz w:val="22"/>
              </w:rPr>
              <w:t>Unchanged</w:t>
            </w:r>
          </w:p>
        </w:tc>
        <w:tc>
          <w:tcPr>
            <w:tcW w:type="dxa" w:w="1728"/>
          </w:tcPr>
          <w:p>
            <w:r>
              <w:rPr>
                <w:rFonts w:ascii="Calibri" w:hAnsi="Calibri"/>
                <w:sz w:val="22"/>
              </w:rPr>
              <w:t>N/A — not in VA</w:t>
            </w:r>
          </w:p>
        </w:tc>
        <w:tc>
          <w:tcPr>
            <w:tcW w:type="dxa" w:w="1728"/>
          </w:tcPr>
          <w:p>
            <w:r>
              <w:rPr>
                <w:rFonts w:ascii="Calibri" w:hAnsi="Calibri"/>
                <w:sz w:val="22"/>
              </w:rPr>
              <w:t>On track; tariff impacts on steel/aluminum inputs acknowledged but incorporated into project analysis</w:t>
            </w:r>
          </w:p>
        </w:tc>
      </w:tr>
    </w:tbl>
    <w:p>
      <w:r>
        <w:rPr>
          <w:rFonts w:ascii="Calibri" w:hAnsi="Calibri"/>
          <w:i/>
          <w:color w:val="525866"/>
          <w:sz w:val="22"/>
        </w:rPr>
        <w:t>Sources: WY Q1 2026 Earnings Call Transcript (May 1, 2026); WY June 25, 2026 Investor Presentation (8-K EX-99.1, filed June 25, 2026); Visible Alpha Consensus and Actuals Data.</w:t>
      </w:r>
    </w:p>
    <w:p>
      <w:r>
        <w:br w:type="page"/>
      </w:r>
    </w:p>
    <w:p>
      <w:pPr>
        <w:pStyle w:val="Heading2"/>
      </w:pPr>
      <w:r>
        <w:rPr>
          <w:rFonts w:ascii="Calibri" w:hAnsi="Calibri"/>
          <w:b/>
          <w:color w:val="3B4259"/>
          <w:sz w:val="28"/>
        </w:rPr>
        <w:t>4. Guidance vs. Estimate Revision Tracker</w:t>
      </w:r>
    </w:p>
    <w:p>
      <w:r>
        <w:rPr>
          <w:rFonts w:ascii="Calibri" w:hAnsi="Calibri"/>
          <w:b/>
          <w:color w:val="525866"/>
          <w:sz w:val="22"/>
        </w:rPr>
        <w:t xml:space="preserve">Key Takeaway: </w:t>
      </w:r>
      <w:r>
        <w:rPr>
          <w:rFonts w:ascii="Calibri" w:hAnsi="Calibri"/>
          <w:color w:val="525866"/>
          <w:sz w:val="22"/>
        </w:rPr>
        <w:t xml:space="preserve">Estimates have drifted </w:t>
      </w:r>
      <w:r>
        <w:rPr>
          <w:rFonts w:ascii="Calibri" w:hAnsi="Calibri"/>
          <w:b/>
          <w:color w:val="525866"/>
          <w:sz w:val="22"/>
        </w:rPr>
        <w:t>modestly lower since Q1 earnings</w:t>
      </w:r>
      <w:r>
        <w:rPr>
          <w:rFonts w:ascii="Calibri" w:hAnsi="Calibri"/>
          <w:color w:val="525866"/>
          <w:sz w:val="22"/>
        </w:rPr>
        <w:t xml:space="preserve"> across all key metrics, tracking the June 25 guidance revision downward. The gap between current consensus and guidance is narrow, suggesting the Street has absorbed the Wood Products volume/cost revision but has not yet fully priced in the lumber pricing upside — leaving room for a modest beat if Q2 lumber realizations land at or above the $500/MBF level.</w:t>
      </w:r>
    </w:p>
    <w:tbl>
      <w:tblPr>
        <w:tblStyle w:val="TableGrid"/>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shd w:val="clear" w:color="auto" w:fill="3B4259"/>
          </w:tcPr>
          <w:p>
            <w:r>
              <w:rPr>
                <w:rFonts w:ascii="Calibri" w:hAnsi="Calibri"/>
                <w:b/>
                <w:color w:val="FFFFFF"/>
                <w:sz w:val="22"/>
              </w:rPr>
              <w:t>KPI (Period)</w:t>
            </w:r>
          </w:p>
        </w:tc>
        <w:tc>
          <w:tcPr>
            <w:tcW w:type="dxa" w:w="1080"/>
            <w:shd w:val="clear" w:color="auto" w:fill="3B4259"/>
          </w:tcPr>
          <w:p>
            <w:r>
              <w:rPr>
                <w:rFonts w:ascii="Calibri" w:hAnsi="Calibri"/>
                <w:b/>
                <w:color w:val="FFFFFF"/>
                <w:sz w:val="22"/>
              </w:rPr>
              <w:t>Estimate ~5 Days Post Q1 Earnings (as of May 7, 2026)</w:t>
            </w:r>
          </w:p>
        </w:tc>
        <w:tc>
          <w:tcPr>
            <w:tcW w:type="dxa" w:w="1080"/>
            <w:shd w:val="clear" w:color="auto" w:fill="3B4259"/>
          </w:tcPr>
          <w:p>
            <w:r>
              <w:rPr>
                <w:rFonts w:ascii="Calibri" w:hAnsi="Calibri"/>
                <w:b/>
                <w:color w:val="FFFFFF"/>
                <w:sz w:val="22"/>
              </w:rPr>
              <w:t>Current Consensus (July 29, 2026)</w:t>
            </w:r>
          </w:p>
        </w:tc>
        <w:tc>
          <w:tcPr>
            <w:tcW w:type="dxa" w:w="1080"/>
            <w:shd w:val="clear" w:color="auto" w:fill="3B4259"/>
          </w:tcPr>
          <w:p>
            <w:r>
              <w:rPr>
                <w:rFonts w:ascii="Calibri" w:hAnsi="Calibri"/>
                <w:b/>
                <w:color w:val="FFFFFF"/>
                <w:sz w:val="22"/>
              </w:rPr>
              <w:t>Estimate Δ (%)</w:t>
            </w:r>
          </w:p>
        </w:tc>
        <w:tc>
          <w:tcPr>
            <w:tcW w:type="dxa" w:w="1080"/>
            <w:shd w:val="clear" w:color="auto" w:fill="3B4259"/>
          </w:tcPr>
          <w:p>
            <w:r>
              <w:rPr>
                <w:rFonts w:ascii="Calibri" w:hAnsi="Calibri"/>
                <w:b/>
                <w:color w:val="FFFFFF"/>
                <w:sz w:val="22"/>
              </w:rPr>
              <w:t>Initial Guidance (Q1 Call)</w:t>
            </w:r>
          </w:p>
        </w:tc>
        <w:tc>
          <w:tcPr>
            <w:tcW w:type="dxa" w:w="1080"/>
            <w:shd w:val="clear" w:color="auto" w:fill="3B4259"/>
          </w:tcPr>
          <w:p>
            <w:r>
              <w:rPr>
                <w:rFonts w:ascii="Calibri" w:hAnsi="Calibri"/>
                <w:b/>
                <w:color w:val="FFFFFF"/>
                <w:sz w:val="22"/>
              </w:rPr>
              <w:t>Current Guidance</w:t>
            </w:r>
          </w:p>
        </w:tc>
        <w:tc>
          <w:tcPr>
            <w:tcW w:type="dxa" w:w="1080"/>
            <w:shd w:val="clear" w:color="auto" w:fill="3B4259"/>
          </w:tcPr>
          <w:p>
            <w:r>
              <w:rPr>
                <w:rFonts w:ascii="Calibri" w:hAnsi="Calibri"/>
                <w:b/>
                <w:color w:val="FFFFFF"/>
                <w:sz w:val="22"/>
              </w:rPr>
              <w:t>Guidance Δ</w:t>
            </w:r>
          </w:p>
        </w:tc>
        <w:tc>
          <w:tcPr>
            <w:tcW w:type="dxa" w:w="1080"/>
            <w:shd w:val="clear" w:color="auto" w:fill="3B4259"/>
          </w:tcPr>
          <w:p>
            <w:r>
              <w:rPr>
                <w:rFonts w:ascii="Calibri" w:hAnsi="Calibri"/>
                <w:b/>
                <w:color w:val="FFFFFF"/>
                <w:sz w:val="22"/>
              </w:rPr>
              <w:t>Consensus vs. Guidance (%)</w:t>
            </w:r>
          </w:p>
        </w:tc>
      </w:tr>
      <w:tr>
        <w:tc>
          <w:tcPr>
            <w:tcW w:type="dxa" w:w="1080"/>
          </w:tcPr>
          <w:p>
            <w:r>
              <w:rPr>
                <w:rFonts w:ascii="Calibri" w:hAnsi="Calibri"/>
                <w:sz w:val="22"/>
              </w:rPr>
              <w:t>Operating EPS — Q2 2026</w:t>
            </w:r>
          </w:p>
        </w:tc>
        <w:tc>
          <w:tcPr>
            <w:tcW w:type="dxa" w:w="1080"/>
          </w:tcPr>
          <w:p>
            <w:r>
              <w:rPr>
                <w:rFonts w:ascii="Calibri" w:hAnsi="Calibri"/>
                <w:sz w:val="22"/>
              </w:rPr>
              <w:t>$0.109</w:t>
            </w:r>
          </w:p>
        </w:tc>
        <w:tc>
          <w:tcPr>
            <w:tcW w:type="dxa" w:w="1080"/>
          </w:tcPr>
          <w:p>
            <w:r>
              <w:rPr>
                <w:rFonts w:ascii="Calibri" w:hAnsi="Calibri"/>
                <w:sz w:val="22"/>
              </w:rPr>
              <w:t>$0.082</w:t>
            </w:r>
          </w:p>
        </w:tc>
        <w:tc>
          <w:tcPr>
            <w:tcW w:type="dxa" w:w="1080"/>
          </w:tcPr>
          <w:p>
            <w:r>
              <w:rPr>
                <w:rFonts w:ascii="Calibri" w:hAnsi="Calibri"/>
                <w:b/>
                <w:color w:val="E5484D"/>
                <w:sz w:val="22"/>
              </w:rPr>
              <w:t>−24.8%</w:t>
            </w:r>
          </w:p>
        </w:tc>
        <w:tc>
          <w:tcPr>
            <w:tcW w:type="dxa" w:w="1080"/>
          </w:tcPr>
          <w:p>
            <w:r>
              <w:rPr>
                <w:rFonts w:ascii="Calibri" w:hAnsi="Calibri"/>
                <w:sz w:val="22"/>
              </w:rPr>
              <w:t>No specific guidance</w:t>
            </w:r>
          </w:p>
        </w:tc>
        <w:tc>
          <w:tcPr>
            <w:tcW w:type="dxa" w:w="1080"/>
          </w:tcPr>
          <w:p>
            <w:r>
              <w:rPr>
                <w:rFonts w:ascii="Calibri" w:hAnsi="Calibri"/>
                <w:sz w:val="22"/>
              </w:rPr>
              <w:t>No specific guidance</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Operating EPS — FY2026</w:t>
            </w:r>
          </w:p>
        </w:tc>
        <w:tc>
          <w:tcPr>
            <w:tcW w:type="dxa" w:w="1080"/>
          </w:tcPr>
          <w:p>
            <w:r>
              <w:rPr>
                <w:rFonts w:ascii="Calibri" w:hAnsi="Calibri"/>
                <w:sz w:val="22"/>
              </w:rPr>
              <w:t>$0.326</w:t>
            </w:r>
          </w:p>
        </w:tc>
        <w:tc>
          <w:tcPr>
            <w:tcW w:type="dxa" w:w="1080"/>
          </w:tcPr>
          <w:p>
            <w:r>
              <w:rPr>
                <w:rFonts w:ascii="Calibri" w:hAnsi="Calibri"/>
                <w:sz w:val="22"/>
              </w:rPr>
              <w:t>$0.309</w:t>
            </w:r>
          </w:p>
        </w:tc>
        <w:tc>
          <w:tcPr>
            <w:tcW w:type="dxa" w:w="1080"/>
          </w:tcPr>
          <w:p>
            <w:r>
              <w:rPr>
                <w:rFonts w:ascii="Calibri" w:hAnsi="Calibri"/>
                <w:b/>
                <w:color w:val="E5484D"/>
                <w:sz w:val="22"/>
              </w:rPr>
              <w:t>−5.2%</w:t>
            </w:r>
          </w:p>
        </w:tc>
        <w:tc>
          <w:tcPr>
            <w:tcW w:type="dxa" w:w="1080"/>
          </w:tcPr>
          <w:p>
            <w:r>
              <w:rPr>
                <w:rFonts w:ascii="Calibri" w:hAnsi="Calibri"/>
                <w:sz w:val="22"/>
              </w:rPr>
              <w:t>No specific guidance</w:t>
            </w:r>
          </w:p>
        </w:tc>
        <w:tc>
          <w:tcPr>
            <w:tcW w:type="dxa" w:w="1080"/>
          </w:tcPr>
          <w:p>
            <w:r>
              <w:rPr>
                <w:rFonts w:ascii="Calibri" w:hAnsi="Calibri"/>
                <w:sz w:val="22"/>
              </w:rPr>
              <w:t>No specific guidance</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Net Sales — Q2 2026 ($M)</w:t>
            </w:r>
          </w:p>
        </w:tc>
        <w:tc>
          <w:tcPr>
            <w:tcW w:type="dxa" w:w="1080"/>
          </w:tcPr>
          <w:p>
            <w:r>
              <w:rPr>
                <w:rFonts w:ascii="Calibri" w:hAnsi="Calibri"/>
                <w:sz w:val="22"/>
              </w:rPr>
              <w:t>$1,856</w:t>
            </w:r>
          </w:p>
        </w:tc>
        <w:tc>
          <w:tcPr>
            <w:tcW w:type="dxa" w:w="1080"/>
          </w:tcPr>
          <w:p>
            <w:r>
              <w:rPr>
                <w:rFonts w:ascii="Calibri" w:hAnsi="Calibri"/>
                <w:sz w:val="22"/>
              </w:rPr>
              <w:t>$1,842</w:t>
            </w:r>
          </w:p>
        </w:tc>
        <w:tc>
          <w:tcPr>
            <w:tcW w:type="dxa" w:w="1080"/>
          </w:tcPr>
          <w:p>
            <w:r>
              <w:rPr>
                <w:rFonts w:ascii="Calibri" w:hAnsi="Calibri"/>
                <w:sz w:val="22"/>
              </w:rPr>
              <w:t>−0.8%</w:t>
            </w:r>
          </w:p>
        </w:tc>
        <w:tc>
          <w:tcPr>
            <w:tcW w:type="dxa" w:w="1080"/>
          </w:tcPr>
          <w:p>
            <w:r>
              <w:rPr>
                <w:rFonts w:ascii="Calibri" w:hAnsi="Calibri"/>
                <w:sz w:val="22"/>
              </w:rPr>
              <w:t>No specific guidance</w:t>
            </w:r>
          </w:p>
        </w:tc>
        <w:tc>
          <w:tcPr>
            <w:tcW w:type="dxa" w:w="1080"/>
          </w:tcPr>
          <w:p>
            <w:r>
              <w:rPr>
                <w:rFonts w:ascii="Calibri" w:hAnsi="Calibri"/>
                <w:sz w:val="22"/>
              </w:rPr>
              <w:t>No specific guidance</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Net Sales — FY2026 ($M)</w:t>
            </w:r>
          </w:p>
        </w:tc>
        <w:tc>
          <w:tcPr>
            <w:tcW w:type="dxa" w:w="1080"/>
          </w:tcPr>
          <w:p>
            <w:r>
              <w:rPr>
                <w:rFonts w:ascii="Calibri" w:hAnsi="Calibri"/>
                <w:sz w:val="22"/>
              </w:rPr>
              <w:t>$7,056</w:t>
            </w:r>
          </w:p>
        </w:tc>
        <w:tc>
          <w:tcPr>
            <w:tcW w:type="dxa" w:w="1080"/>
          </w:tcPr>
          <w:p>
            <w:r>
              <w:rPr>
                <w:rFonts w:ascii="Calibri" w:hAnsi="Calibri"/>
                <w:sz w:val="22"/>
              </w:rPr>
              <w:t>$7,062</w:t>
            </w:r>
          </w:p>
        </w:tc>
        <w:tc>
          <w:tcPr>
            <w:tcW w:type="dxa" w:w="1080"/>
          </w:tcPr>
          <w:p>
            <w:r>
              <w:rPr>
                <w:rFonts w:ascii="Calibri" w:hAnsi="Calibri"/>
                <w:sz w:val="22"/>
              </w:rPr>
              <w:t>+0.1%</w:t>
            </w:r>
          </w:p>
        </w:tc>
        <w:tc>
          <w:tcPr>
            <w:tcW w:type="dxa" w:w="1080"/>
          </w:tcPr>
          <w:p>
            <w:r>
              <w:rPr>
                <w:rFonts w:ascii="Calibri" w:hAnsi="Calibri"/>
                <w:sz w:val="22"/>
              </w:rPr>
              <w:t>No specific guidance</w:t>
            </w:r>
          </w:p>
        </w:tc>
        <w:tc>
          <w:tcPr>
            <w:tcW w:type="dxa" w:w="1080"/>
          </w:tcPr>
          <w:p>
            <w:r>
              <w:rPr>
                <w:rFonts w:ascii="Calibri" w:hAnsi="Calibri"/>
                <w:sz w:val="22"/>
              </w:rPr>
              <w:t>No specific guidance</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Adj. EBITDA — Q2 2026 ($M)</w:t>
            </w:r>
          </w:p>
        </w:tc>
        <w:tc>
          <w:tcPr>
            <w:tcW w:type="dxa" w:w="1080"/>
          </w:tcPr>
          <w:p>
            <w:r>
              <w:rPr>
                <w:rFonts w:ascii="Calibri" w:hAnsi="Calibri"/>
                <w:sz w:val="22"/>
              </w:rPr>
              <w:t>$316</w:t>
            </w:r>
          </w:p>
        </w:tc>
        <w:tc>
          <w:tcPr>
            <w:tcW w:type="dxa" w:w="1080"/>
          </w:tcPr>
          <w:p>
            <w:r>
              <w:rPr>
                <w:rFonts w:ascii="Calibri" w:hAnsi="Calibri"/>
                <w:sz w:val="22"/>
              </w:rPr>
              <w:t>$297</w:t>
            </w:r>
          </w:p>
        </w:tc>
        <w:tc>
          <w:tcPr>
            <w:tcW w:type="dxa" w:w="1080"/>
          </w:tcPr>
          <w:p>
            <w:r>
              <w:rPr>
                <w:rFonts w:ascii="Calibri" w:hAnsi="Calibri"/>
                <w:b/>
                <w:color w:val="E5484D"/>
                <w:sz w:val="22"/>
              </w:rPr>
              <w:t>−6.0%</w:t>
            </w:r>
          </w:p>
        </w:tc>
        <w:tc>
          <w:tcPr>
            <w:tcW w:type="dxa" w:w="1080"/>
          </w:tcPr>
          <w:p>
            <w:r>
              <w:rPr>
                <w:rFonts w:ascii="Calibri" w:hAnsi="Calibri"/>
                <w:sz w:val="22"/>
              </w:rPr>
              <w:t>Comparable to Q1 ex-pricing; SLS ~$70M lower</w:t>
            </w:r>
          </w:p>
        </w:tc>
        <w:tc>
          <w:tcPr>
            <w:tcW w:type="dxa" w:w="1080"/>
          </w:tcPr>
          <w:p>
            <w:r>
              <w:rPr>
                <w:rFonts w:ascii="Calibri" w:hAnsi="Calibri"/>
                <w:sz w:val="22"/>
              </w:rPr>
              <w:t>Wood Products ~$20M lower ex-pricing (June 25)</w:t>
            </w:r>
          </w:p>
        </w:tc>
        <w:tc>
          <w:tcPr>
            <w:tcW w:type="dxa" w:w="1080"/>
          </w:tcPr>
          <w:p>
            <w:r>
              <w:rPr>
                <w:rFonts w:ascii="Calibri" w:hAnsi="Calibri"/>
                <w:sz w:val="22"/>
              </w:rPr>
              <w:t>↓ Revised down</w:t>
            </w:r>
          </w:p>
        </w:tc>
        <w:tc>
          <w:tcPr>
            <w:tcW w:type="dxa" w:w="1080"/>
          </w:tcPr>
          <w:p>
            <w:r>
              <w:rPr>
                <w:rFonts w:ascii="Calibri" w:hAnsi="Calibri"/>
                <w:sz w:val="22"/>
              </w:rPr>
              <w:t>~In-line</w:t>
            </w:r>
          </w:p>
        </w:tc>
      </w:tr>
      <w:tr>
        <w:tc>
          <w:tcPr>
            <w:tcW w:type="dxa" w:w="1080"/>
          </w:tcPr>
          <w:p>
            <w:r>
              <w:rPr>
                <w:rFonts w:ascii="Calibri" w:hAnsi="Calibri"/>
                <w:sz w:val="22"/>
              </w:rPr>
              <w:t>Adj. EBITDA — FY2026 ($M)</w:t>
            </w:r>
          </w:p>
        </w:tc>
        <w:tc>
          <w:tcPr>
            <w:tcW w:type="dxa" w:w="1080"/>
          </w:tcPr>
          <w:p>
            <w:r>
              <w:rPr>
                <w:rFonts w:ascii="Calibri" w:hAnsi="Calibri"/>
                <w:sz w:val="22"/>
              </w:rPr>
              <w:t>$1,126</w:t>
            </w:r>
          </w:p>
        </w:tc>
        <w:tc>
          <w:tcPr>
            <w:tcW w:type="dxa" w:w="1080"/>
          </w:tcPr>
          <w:p>
            <w:r>
              <w:rPr>
                <w:rFonts w:ascii="Calibri" w:hAnsi="Calibri"/>
                <w:sz w:val="22"/>
              </w:rPr>
              <w:t>$1,112</w:t>
            </w:r>
          </w:p>
        </w:tc>
        <w:tc>
          <w:tcPr>
            <w:tcW w:type="dxa" w:w="1080"/>
          </w:tcPr>
          <w:p>
            <w:r>
              <w:rPr>
                <w:rFonts w:ascii="Calibri" w:hAnsi="Calibri"/>
                <w:sz w:val="22"/>
              </w:rPr>
              <w:t>−1.2%</w:t>
            </w:r>
          </w:p>
        </w:tc>
        <w:tc>
          <w:tcPr>
            <w:tcW w:type="dxa" w:w="1080"/>
          </w:tcPr>
          <w:p>
            <w:r>
              <w:rPr>
                <w:rFonts w:ascii="Calibri" w:hAnsi="Calibri"/>
                <w:sz w:val="22"/>
              </w:rPr>
              <w:t>SLS ~$425M; Wood Products recovery from trough</w:t>
            </w:r>
          </w:p>
        </w:tc>
        <w:tc>
          <w:tcPr>
            <w:tcW w:type="dxa" w:w="1080"/>
          </w:tcPr>
          <w:p>
            <w:r>
              <w:rPr>
                <w:rFonts w:ascii="Calibri" w:hAnsi="Calibri"/>
                <w:sz w:val="22"/>
              </w:rPr>
              <w:t>Unchanged</w:t>
            </w:r>
          </w:p>
        </w:tc>
        <w:tc>
          <w:tcPr>
            <w:tcW w:type="dxa" w:w="1080"/>
          </w:tcPr>
          <w:p>
            <w:r>
              <w:rPr>
                <w:rFonts w:ascii="Calibri" w:hAnsi="Calibri"/>
                <w:sz w:val="22"/>
              </w:rPr>
              <w:t>No change</w:t>
            </w:r>
          </w:p>
        </w:tc>
        <w:tc>
          <w:tcPr>
            <w:tcW w:type="dxa" w:w="1080"/>
          </w:tcPr>
          <w:p>
            <w:r>
              <w:rPr>
                <w:rFonts w:ascii="Calibri" w:hAnsi="Calibri"/>
                <w:sz w:val="22"/>
              </w:rPr>
              <w:t>~In-line</w:t>
            </w:r>
          </w:p>
        </w:tc>
      </w:tr>
      <w:tr>
        <w:tc>
          <w:tcPr>
            <w:tcW w:type="dxa" w:w="1080"/>
          </w:tcPr>
          <w:p>
            <w:r>
              <w:rPr>
                <w:rFonts w:ascii="Calibri" w:hAnsi="Calibri"/>
                <w:sz w:val="22"/>
              </w:rPr>
              <w:t>Wood Products Adj. EBITDA — Q2 2026 ($M)</w:t>
            </w:r>
          </w:p>
        </w:tc>
        <w:tc>
          <w:tcPr>
            <w:tcW w:type="dxa" w:w="1080"/>
          </w:tcPr>
          <w:p>
            <w:r>
              <w:rPr>
                <w:rFonts w:ascii="Calibri" w:hAnsi="Calibri"/>
                <w:sz w:val="22"/>
              </w:rPr>
              <w:t>$148</w:t>
            </w:r>
          </w:p>
        </w:tc>
        <w:tc>
          <w:tcPr>
            <w:tcW w:type="dxa" w:w="1080"/>
          </w:tcPr>
          <w:p>
            <w:r>
              <w:rPr>
                <w:rFonts w:ascii="Calibri" w:hAnsi="Calibri"/>
                <w:sz w:val="22"/>
              </w:rPr>
              <w:t>$128</w:t>
            </w:r>
          </w:p>
        </w:tc>
        <w:tc>
          <w:tcPr>
            <w:tcW w:type="dxa" w:w="1080"/>
          </w:tcPr>
          <w:p>
            <w:r>
              <w:rPr>
                <w:rFonts w:ascii="Calibri" w:hAnsi="Calibri"/>
                <w:b/>
                <w:color w:val="E5484D"/>
                <w:sz w:val="22"/>
              </w:rPr>
              <w:t>−13.5%</w:t>
            </w:r>
          </w:p>
        </w:tc>
        <w:tc>
          <w:tcPr>
            <w:tcW w:type="dxa" w:w="1080"/>
          </w:tcPr>
          <w:p>
            <w:r>
              <w:rPr>
                <w:rFonts w:ascii="Calibri" w:hAnsi="Calibri"/>
                <w:sz w:val="22"/>
              </w:rPr>
              <w:t>Comparable to Q1 ($71M) ex-pricing</w:t>
            </w:r>
          </w:p>
        </w:tc>
        <w:tc>
          <w:tcPr>
            <w:tcW w:type="dxa" w:w="1080"/>
          </w:tcPr>
          <w:p>
            <w:r>
              <w:rPr>
                <w:rFonts w:ascii="Calibri" w:hAnsi="Calibri"/>
                <w:sz w:val="22"/>
              </w:rPr>
              <w:t>~$20M lower ex-pricing (June 25)</w:t>
            </w:r>
          </w:p>
        </w:tc>
        <w:tc>
          <w:tcPr>
            <w:tcW w:type="dxa" w:w="1080"/>
          </w:tcPr>
          <w:p>
            <w:r>
              <w:rPr>
                <w:rFonts w:ascii="Calibri" w:hAnsi="Calibri"/>
                <w:sz w:val="22"/>
              </w:rPr>
              <w:t>↓ Revised down</w:t>
            </w:r>
          </w:p>
        </w:tc>
        <w:tc>
          <w:tcPr>
            <w:tcW w:type="dxa" w:w="1080"/>
          </w:tcPr>
          <w:p>
            <w:r>
              <w:rPr>
                <w:rFonts w:ascii="Calibri" w:hAnsi="Calibri"/>
                <w:sz w:val="22"/>
              </w:rPr>
              <w:t>~In-line</w:t>
            </w:r>
          </w:p>
        </w:tc>
      </w:tr>
      <w:tr>
        <w:tc>
          <w:tcPr>
            <w:tcW w:type="dxa" w:w="1080"/>
          </w:tcPr>
          <w:p>
            <w:r>
              <w:rPr>
                <w:rFonts w:ascii="Calibri" w:hAnsi="Calibri"/>
                <w:sz w:val="22"/>
              </w:rPr>
              <w:t>Lumber Realization — Q2 2026 ($/MBF)</w:t>
            </w:r>
          </w:p>
        </w:tc>
        <w:tc>
          <w:tcPr>
            <w:tcW w:type="dxa" w:w="1080"/>
          </w:tcPr>
          <w:p>
            <w:r>
              <w:rPr>
                <w:rFonts w:ascii="Calibri" w:hAnsi="Calibri"/>
                <w:sz w:val="22"/>
              </w:rPr>
              <w:t>$490</w:t>
            </w:r>
          </w:p>
        </w:tc>
        <w:tc>
          <w:tcPr>
            <w:tcW w:type="dxa" w:w="1080"/>
          </w:tcPr>
          <w:p>
            <w:r>
              <w:rPr>
                <w:rFonts w:ascii="Calibri" w:hAnsi="Calibri"/>
                <w:sz w:val="22"/>
              </w:rPr>
              <w:t>$501</w:t>
            </w:r>
          </w:p>
        </w:tc>
        <w:tc>
          <w:tcPr>
            <w:tcW w:type="dxa" w:w="1080"/>
          </w:tcPr>
          <w:p>
            <w:r>
              <w:rPr>
                <w:rFonts w:ascii="Calibri" w:hAnsi="Calibri"/>
                <w:b/>
                <w:color w:val="30A46C"/>
                <w:sz w:val="22"/>
              </w:rPr>
              <w:t>+2.2%</w:t>
            </w:r>
          </w:p>
        </w:tc>
        <w:tc>
          <w:tcPr>
            <w:tcW w:type="dxa" w:w="1080"/>
          </w:tcPr>
          <w:p>
            <w:r>
              <w:rPr>
                <w:rFonts w:ascii="Calibri" w:hAnsi="Calibri"/>
                <w:sz w:val="22"/>
              </w:rPr>
              <w:t>Significantly above Q1 ($443)</w:t>
            </w:r>
          </w:p>
        </w:tc>
        <w:tc>
          <w:tcPr>
            <w:tcW w:type="dxa" w:w="1080"/>
          </w:tcPr>
          <w:p>
            <w:r>
              <w:rPr>
                <w:rFonts w:ascii="Calibri" w:hAnsi="Calibri"/>
                <w:sz w:val="22"/>
              </w:rPr>
              <w:t>QTD ~$508 (Q1 avg + $65)</w:t>
            </w:r>
          </w:p>
        </w:tc>
        <w:tc>
          <w:tcPr>
            <w:tcW w:type="dxa" w:w="1080"/>
          </w:tcPr>
          <w:p>
            <w:r>
              <w:rPr>
                <w:rFonts w:ascii="Calibri" w:hAnsi="Calibri"/>
                <w:sz w:val="22"/>
              </w:rPr>
              <w:t>↑ Revised up</w:t>
            </w:r>
          </w:p>
        </w:tc>
        <w:tc>
          <w:tcPr>
            <w:tcW w:type="dxa" w:w="1080"/>
          </w:tcPr>
          <w:p>
            <w:r>
              <w:rPr>
                <w:rFonts w:ascii="Calibri" w:hAnsi="Calibri"/>
                <w:sz w:val="22"/>
              </w:rPr>
              <w:t>~In-line to slight upside</w:t>
            </w:r>
          </w:p>
        </w:tc>
      </w:tr>
    </w:tbl>
    <w:p>
      <w:r>
        <w:rPr>
          <w:rFonts w:ascii="Calibri" w:hAnsi="Calibri"/>
          <w:i/>
          <w:color w:val="525866"/>
          <w:sz w:val="22"/>
        </w:rPr>
        <w:t xml:space="preserve">The most notable revision dynamic is the </w:t>
      </w:r>
      <w:r>
        <w:rPr>
          <w:rFonts w:ascii="Calibri" w:hAnsi="Calibri"/>
          <w:b/>
          <w:i/>
          <w:color w:val="525866"/>
          <w:sz w:val="22"/>
        </w:rPr>
        <w:t>divergence between EPS and EBITDA revisions</w:t>
      </w:r>
      <w:r>
        <w:rPr>
          <w:rFonts w:ascii="Calibri" w:hAnsi="Calibri"/>
          <w:i/>
          <w:color w:val="525866"/>
          <w:sz w:val="22"/>
        </w:rPr>
        <w:t xml:space="preserve">: operating EPS estimates fell ~25% post-Q1 earnings (from $0.109 to $0.082) while EBITDA fell only ~6%, reflecting higher interest expense and tax assumptions. The lumber realization estimate has actually been revised </w:t>
      </w:r>
      <w:r>
        <w:rPr>
          <w:rFonts w:ascii="Calibri" w:hAnsi="Calibri"/>
          <w:b/>
          <w:i/>
          <w:color w:val="525866"/>
          <w:sz w:val="22"/>
        </w:rPr>
        <w:t>up</w:t>
      </w:r>
      <w:r>
        <w:rPr>
          <w:rFonts w:ascii="Calibri" w:hAnsi="Calibri"/>
          <w:i/>
          <w:color w:val="525866"/>
          <w:sz w:val="22"/>
        </w:rPr>
        <w:t xml:space="preserve"> since Q1 earnings, consistent with the June 25 pricing update, suggesting the Street is tracking the pricing signal but discounting it via volume/cost offsets. Source: Visible Alpha Consensus and Actuals Data.</w:t>
      </w:r>
    </w:p>
    <w:p>
      <w:r>
        <w:br w:type="page"/>
      </w:r>
    </w:p>
    <w:p>
      <w:pPr>
        <w:pStyle w:val="Heading2"/>
      </w:pPr>
      <w:r>
        <w:rPr>
          <w:rFonts w:ascii="Calibri" w:hAnsi="Calibri"/>
          <w:b/>
          <w:color w:val="3B4259"/>
          <w:sz w:val="28"/>
        </w:rPr>
        <w:t>5. Stock Performance</w:t>
      </w:r>
    </w:p>
    <w:p>
      <w:r>
        <w:rPr>
          <w:rFonts w:ascii="Calibri" w:hAnsi="Calibri"/>
          <w:b/>
          <w:color w:val="525866"/>
          <w:sz w:val="22"/>
        </w:rPr>
        <w:t xml:space="preserve">Key Takeaway: </w:t>
      </w:r>
      <w:r>
        <w:rPr>
          <w:rFonts w:ascii="Calibri" w:hAnsi="Calibri"/>
          <w:color w:val="525866"/>
          <w:sz w:val="22"/>
        </w:rPr>
        <w:t xml:space="preserve">WY has </w:t>
      </w:r>
      <w:r>
        <w:rPr>
          <w:rFonts w:ascii="Calibri" w:hAnsi="Calibri"/>
          <w:b/>
          <w:color w:val="525866"/>
          <w:sz w:val="22"/>
        </w:rPr>
        <w:t>meaningfully underperformed both ITB and SPY since Q1 earnings</w:t>
      </w:r>
      <w:r>
        <w:rPr>
          <w:rFonts w:ascii="Calibri" w:hAnsi="Calibri"/>
          <w:color w:val="525866"/>
          <w:sz w:val="22"/>
        </w:rPr>
        <w:t>, driven almost entirely by multiple compression (EV/EBITDA contracted ~10% over 3 months) rather than estimate cuts, suggesting the market is discounting the commodity recovery story and the elevated 5.0x leverage ratio. The stock is essentially flat since April 30, offering a clean setup with no beat priced in.</w:t>
      </w:r>
    </w:p>
    <w:p>
      <w:r>
        <w:rPr>
          <w:rFonts w:ascii="Calibri" w:hAnsi="Calibri"/>
          <w:i/>
          <w:color w:val="525866"/>
          <w:sz w:val="22"/>
        </w:rPr>
        <w:t xml:space="preserve">Since Q1 2026 earnings (April 30, 2026), WY closed at $24.45 on July 30, 2026 vs. $24.52 at the April 30 close — essentially flat (−0.3%). Over the same period, ITB (iShares U.S. Home Construction ETF, the most relevant sector proxy for WY’s Wood Products and housing-exposed Timberlands segments) rose approximately +0.2% (from $96.36 to $96.58), and SPY gained approximately +1.5% (from $718.66 to $729.46). WY’s underperformance vs. ITB is notable given that lumber pricing recovered sharply through the quarter — the disconnect reflects investor skepticism about the durability of the pricing recovery and concern about the elevated net debt/EBITDA ratio (5.0x vs. 3.5x mid-cycle target). The stock saw a brief spike to $25.76 on June 25 (the day of the Q2 outlook update), before giving back gains as the market focused on the volume/cost revision rather than the pricing tailwind. The sector ETF used is </w:t>
      </w:r>
      <w:r>
        <w:rPr>
          <w:rFonts w:ascii="Calibri" w:hAnsi="Calibri"/>
          <w:b/>
          <w:i/>
          <w:color w:val="525866"/>
          <w:sz w:val="22"/>
        </w:rPr>
        <w:t>ITB (iShares U.S. Home Construction ETF)</w:t>
      </w:r>
      <w:r>
        <w:rPr>
          <w:rFonts w:ascii="Calibri" w:hAnsi="Calibri"/>
          <w:i/>
          <w:color w:val="525866"/>
          <w:sz w:val="22"/>
        </w:rPr>
        <w:t>, which captures WY’s primary end-market exposure (new residential construction) and includes homebuilders, building products, and home improvement retailers. Source: Stock Price Data (Yahoo Finance).</w:t>
      </w:r>
    </w:p>
    <w:p>
      <w:pPr>
        <w:pStyle w:val="Heading3"/>
      </w:pPr>
      <w:r>
        <w:rPr>
          <w:rFonts w:ascii="Calibri" w:hAnsi="Calibri"/>
          <w:b/>
          <w:color w:val="3B4259"/>
          <w:sz w:val="24"/>
        </w:rPr>
        <w:t>Indexed Price Performance: WY vs. ITB vs. SPY (Since April 30, 2026 = 100)</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Date</w:t>
            </w:r>
          </w:p>
        </w:tc>
        <w:tc>
          <w:tcPr>
            <w:tcW w:type="dxa" w:w="1728"/>
            <w:shd w:val="clear" w:color="auto" w:fill="3B4259"/>
          </w:tcPr>
          <w:p>
            <w:r>
              <w:rPr>
                <w:rFonts w:ascii="Calibri" w:hAnsi="Calibri"/>
                <w:b/>
                <w:color w:val="FFFFFF"/>
                <w:sz w:val="22"/>
              </w:rPr>
              <w:t>WY (Indexed)</w:t>
            </w:r>
          </w:p>
        </w:tc>
        <w:tc>
          <w:tcPr>
            <w:tcW w:type="dxa" w:w="1728"/>
            <w:shd w:val="clear" w:color="auto" w:fill="3B4259"/>
          </w:tcPr>
          <w:p>
            <w:r>
              <w:rPr>
                <w:rFonts w:ascii="Calibri" w:hAnsi="Calibri"/>
                <w:b/>
                <w:color w:val="FFFFFF"/>
                <w:sz w:val="22"/>
              </w:rPr>
              <w:t>ITB (Indexed)</w:t>
            </w:r>
          </w:p>
        </w:tc>
        <w:tc>
          <w:tcPr>
            <w:tcW w:type="dxa" w:w="1728"/>
            <w:shd w:val="clear" w:color="auto" w:fill="3B4259"/>
          </w:tcPr>
          <w:p>
            <w:r>
              <w:rPr>
                <w:rFonts w:ascii="Calibri" w:hAnsi="Calibri"/>
                <w:b/>
                <w:color w:val="FFFFFF"/>
                <w:sz w:val="22"/>
              </w:rPr>
              <w:t>SPY (Indexed)</w:t>
            </w:r>
          </w:p>
        </w:tc>
        <w:tc>
          <w:tcPr>
            <w:tcW w:type="dxa" w:w="1728"/>
            <w:shd w:val="clear" w:color="auto" w:fill="3B4259"/>
          </w:tcPr>
          <w:p>
            <w:r>
              <w:rPr>
                <w:rFonts w:ascii="Calibri" w:hAnsi="Calibri"/>
                <w:b/>
                <w:color w:val="FFFFFF"/>
                <w:sz w:val="22"/>
              </w:rPr>
              <w:t>Key Event</w:t>
            </w:r>
          </w:p>
        </w:tc>
      </w:tr>
      <w:tr>
        <w:tc>
          <w:tcPr>
            <w:tcW w:type="dxa" w:w="1728"/>
          </w:tcPr>
          <w:p>
            <w:r>
              <w:rPr>
                <w:rFonts w:ascii="Calibri" w:hAnsi="Calibri"/>
                <w:sz w:val="22"/>
              </w:rPr>
              <w:t>Apr 30, 2026</w:t>
            </w:r>
          </w:p>
        </w:tc>
        <w:tc>
          <w:tcPr>
            <w:tcW w:type="dxa" w:w="1728"/>
          </w:tcPr>
          <w:p>
            <w:r>
              <w:rPr>
                <w:rFonts w:ascii="Calibri" w:hAnsi="Calibri"/>
                <w:sz w:val="22"/>
              </w:rPr>
              <w:t>100.0</w:t>
            </w:r>
          </w:p>
        </w:tc>
        <w:tc>
          <w:tcPr>
            <w:tcW w:type="dxa" w:w="1728"/>
          </w:tcPr>
          <w:p>
            <w:r>
              <w:rPr>
                <w:rFonts w:ascii="Calibri" w:hAnsi="Calibri"/>
                <w:sz w:val="22"/>
              </w:rPr>
              <w:t>100.0</w:t>
            </w:r>
          </w:p>
        </w:tc>
        <w:tc>
          <w:tcPr>
            <w:tcW w:type="dxa" w:w="1728"/>
          </w:tcPr>
          <w:p>
            <w:r>
              <w:rPr>
                <w:rFonts w:ascii="Calibri" w:hAnsi="Calibri"/>
                <w:sz w:val="22"/>
              </w:rPr>
              <w:t>100.0</w:t>
            </w:r>
          </w:p>
        </w:tc>
        <w:tc>
          <w:tcPr>
            <w:tcW w:type="dxa" w:w="1728"/>
          </w:tcPr>
          <w:p>
            <w:r>
              <w:rPr>
                <w:rFonts w:ascii="Calibri" w:hAnsi="Calibri"/>
                <w:sz w:val="22"/>
              </w:rPr>
              <w:t>Q1 2026 Earnings Release (Base)</w:t>
            </w:r>
          </w:p>
        </w:tc>
      </w:tr>
      <w:tr>
        <w:tc>
          <w:tcPr>
            <w:tcW w:type="dxa" w:w="1728"/>
          </w:tcPr>
          <w:p>
            <w:r>
              <w:rPr>
                <w:rFonts w:ascii="Calibri" w:hAnsi="Calibri"/>
                <w:sz w:val="22"/>
              </w:rPr>
              <w:t>May 15, 2026</w:t>
            </w:r>
          </w:p>
        </w:tc>
        <w:tc>
          <w:tcPr>
            <w:tcW w:type="dxa" w:w="1728"/>
          </w:tcPr>
          <w:p>
            <w:r>
              <w:rPr>
                <w:rFonts w:ascii="Calibri" w:hAnsi="Calibri"/>
                <w:sz w:val="22"/>
              </w:rPr>
              <w:t>92.5</w:t>
            </w:r>
          </w:p>
        </w:tc>
        <w:tc>
          <w:tcPr>
            <w:tcW w:type="dxa" w:w="1728"/>
          </w:tcPr>
          <w:p>
            <w:r>
              <w:rPr>
                <w:rFonts w:ascii="Calibri" w:hAnsi="Calibri"/>
                <w:sz w:val="22"/>
              </w:rPr>
              <w:t>89.7</w:t>
            </w:r>
          </w:p>
        </w:tc>
        <w:tc>
          <w:tcPr>
            <w:tcW w:type="dxa" w:w="1728"/>
          </w:tcPr>
          <w:p>
            <w:r>
              <w:rPr>
                <w:rFonts w:ascii="Calibri" w:hAnsi="Calibri"/>
                <w:sz w:val="22"/>
              </w:rPr>
              <w:t>102.9</w:t>
            </w:r>
          </w:p>
        </w:tc>
        <w:tc>
          <w:tcPr>
            <w:tcW w:type="dxa" w:w="1728"/>
          </w:tcPr>
          <w:p>
            <w:r>
              <w:rPr>
                <w:rFonts w:ascii="Calibri" w:hAnsi="Calibri"/>
                <w:sz w:val="22"/>
              </w:rPr>
              <w:t>WY &amp; ITB both weak; housing sentiment soft</w:t>
            </w:r>
          </w:p>
        </w:tc>
      </w:tr>
      <w:tr>
        <w:tc>
          <w:tcPr>
            <w:tcW w:type="dxa" w:w="1728"/>
          </w:tcPr>
          <w:p>
            <w:r>
              <w:rPr>
                <w:rFonts w:ascii="Calibri" w:hAnsi="Calibri"/>
                <w:sz w:val="22"/>
              </w:rPr>
              <w:t>May 27, 2026</w:t>
            </w:r>
          </w:p>
        </w:tc>
        <w:tc>
          <w:tcPr>
            <w:tcW w:type="dxa" w:w="1728"/>
          </w:tcPr>
          <w:p>
            <w:r>
              <w:rPr>
                <w:rFonts w:ascii="Calibri" w:hAnsi="Calibri"/>
                <w:sz w:val="22"/>
              </w:rPr>
              <w:t>99.9</w:t>
            </w:r>
          </w:p>
        </w:tc>
        <w:tc>
          <w:tcPr>
            <w:tcW w:type="dxa" w:w="1728"/>
          </w:tcPr>
          <w:p>
            <w:r>
              <w:rPr>
                <w:rFonts w:ascii="Calibri" w:hAnsi="Calibri"/>
                <w:sz w:val="22"/>
              </w:rPr>
              <w:t>97.1</w:t>
            </w:r>
          </w:p>
        </w:tc>
        <w:tc>
          <w:tcPr>
            <w:tcW w:type="dxa" w:w="1728"/>
          </w:tcPr>
          <w:p>
            <w:r>
              <w:rPr>
                <w:rFonts w:ascii="Calibri" w:hAnsi="Calibri"/>
                <w:sz w:val="22"/>
              </w:rPr>
              <w:t>104.4</w:t>
            </w:r>
          </w:p>
        </w:tc>
        <w:tc>
          <w:tcPr>
            <w:tcW w:type="dxa" w:w="1728"/>
          </w:tcPr>
          <w:p>
            <w:r>
              <w:rPr>
                <w:rFonts w:ascii="Calibri" w:hAnsi="Calibri"/>
                <w:sz w:val="22"/>
              </w:rPr>
              <w:t>Recovery; lumber pricing improving</w:t>
            </w:r>
          </w:p>
        </w:tc>
      </w:tr>
      <w:tr>
        <w:tc>
          <w:tcPr>
            <w:tcW w:type="dxa" w:w="1728"/>
          </w:tcPr>
          <w:p>
            <w:r>
              <w:rPr>
                <w:rFonts w:ascii="Calibri" w:hAnsi="Calibri"/>
                <w:sz w:val="22"/>
              </w:rPr>
              <w:t>Jun 2, 2026</w:t>
            </w:r>
          </w:p>
        </w:tc>
        <w:tc>
          <w:tcPr>
            <w:tcW w:type="dxa" w:w="1728"/>
          </w:tcPr>
          <w:p>
            <w:r>
              <w:rPr>
                <w:rFonts w:ascii="Calibri" w:hAnsi="Calibri"/>
                <w:sz w:val="22"/>
              </w:rPr>
              <w:t>~99.7</w:t>
            </w:r>
          </w:p>
        </w:tc>
        <w:tc>
          <w:tcPr>
            <w:tcW w:type="dxa" w:w="1728"/>
          </w:tcPr>
          <w:p>
            <w:r>
              <w:rPr>
                <w:rFonts w:ascii="Calibri" w:hAnsi="Calibri"/>
                <w:sz w:val="22"/>
              </w:rPr>
              <w:t>~96.4</w:t>
            </w:r>
          </w:p>
        </w:tc>
        <w:tc>
          <w:tcPr>
            <w:tcW w:type="dxa" w:w="1728"/>
          </w:tcPr>
          <w:p>
            <w:r>
              <w:rPr>
                <w:rFonts w:ascii="Calibri" w:hAnsi="Calibri"/>
                <w:sz w:val="22"/>
              </w:rPr>
              <w:t>~105.7</w:t>
            </w:r>
          </w:p>
        </w:tc>
        <w:tc>
          <w:tcPr>
            <w:tcW w:type="dxa" w:w="1728"/>
          </w:tcPr>
          <w:p>
            <w:r>
              <w:rPr>
                <w:rFonts w:ascii="Calibri" w:hAnsi="Calibri"/>
                <w:sz w:val="22"/>
              </w:rPr>
              <w:t>WY/CFO at Nareit REITweek Conference</w:t>
            </w:r>
          </w:p>
        </w:tc>
      </w:tr>
      <w:tr>
        <w:tc>
          <w:tcPr>
            <w:tcW w:type="dxa" w:w="1728"/>
          </w:tcPr>
          <w:p>
            <w:r>
              <w:rPr>
                <w:rFonts w:ascii="Calibri" w:hAnsi="Calibri"/>
                <w:sz w:val="22"/>
              </w:rPr>
              <w:t>Jun 25, 2026</w:t>
            </w:r>
          </w:p>
        </w:tc>
        <w:tc>
          <w:tcPr>
            <w:tcW w:type="dxa" w:w="1728"/>
          </w:tcPr>
          <w:p>
            <w:r>
              <w:rPr>
                <w:rFonts w:ascii="Calibri" w:hAnsi="Calibri"/>
                <w:sz w:val="22"/>
              </w:rPr>
              <w:t>105.1</w:t>
            </w:r>
          </w:p>
        </w:tc>
        <w:tc>
          <w:tcPr>
            <w:tcW w:type="dxa" w:w="1728"/>
          </w:tcPr>
          <w:p>
            <w:r>
              <w:rPr>
                <w:rFonts w:ascii="Calibri" w:hAnsi="Calibri"/>
                <w:sz w:val="22"/>
              </w:rPr>
              <w:t>108.2</w:t>
            </w:r>
          </w:p>
        </w:tc>
        <w:tc>
          <w:tcPr>
            <w:tcW w:type="dxa" w:w="1728"/>
          </w:tcPr>
          <w:p>
            <w:r>
              <w:rPr>
                <w:rFonts w:ascii="Calibri" w:hAnsi="Calibri"/>
                <w:sz w:val="22"/>
              </w:rPr>
              <w:t>102.2</w:t>
            </w:r>
          </w:p>
        </w:tc>
        <w:tc>
          <w:tcPr>
            <w:tcW w:type="dxa" w:w="1728"/>
          </w:tcPr>
          <w:p>
            <w:r>
              <w:rPr>
                <w:rFonts w:ascii="Calibri" w:hAnsi="Calibri"/>
                <w:sz w:val="22"/>
              </w:rPr>
              <w:t>WY Q2 Outlook Update (8-K); stock spikes to $25.76</w:t>
            </w:r>
          </w:p>
        </w:tc>
      </w:tr>
      <w:tr>
        <w:tc>
          <w:tcPr>
            <w:tcW w:type="dxa" w:w="1728"/>
          </w:tcPr>
          <w:p>
            <w:r>
              <w:rPr>
                <w:rFonts w:ascii="Calibri" w:hAnsi="Calibri"/>
                <w:sz w:val="22"/>
              </w:rPr>
              <w:t>Jul 8, 2026</w:t>
            </w:r>
          </w:p>
        </w:tc>
        <w:tc>
          <w:tcPr>
            <w:tcW w:type="dxa" w:w="1728"/>
          </w:tcPr>
          <w:p>
            <w:r>
              <w:rPr>
                <w:rFonts w:ascii="Calibri" w:hAnsi="Calibri"/>
                <w:sz w:val="22"/>
              </w:rPr>
              <w:t>91.6</w:t>
            </w:r>
          </w:p>
        </w:tc>
        <w:tc>
          <w:tcPr>
            <w:tcW w:type="dxa" w:w="1728"/>
          </w:tcPr>
          <w:p>
            <w:r>
              <w:rPr>
                <w:rFonts w:ascii="Calibri" w:hAnsi="Calibri"/>
                <w:sz w:val="22"/>
              </w:rPr>
              <w:t>99.5</w:t>
            </w:r>
          </w:p>
        </w:tc>
        <w:tc>
          <w:tcPr>
            <w:tcW w:type="dxa" w:w="1728"/>
          </w:tcPr>
          <w:p>
            <w:r>
              <w:rPr>
                <w:rFonts w:ascii="Calibri" w:hAnsi="Calibri"/>
                <w:sz w:val="22"/>
              </w:rPr>
              <w:t>103.7</w:t>
            </w:r>
          </w:p>
        </w:tc>
        <w:tc>
          <w:tcPr>
            <w:tcW w:type="dxa" w:w="1728"/>
          </w:tcPr>
          <w:p>
            <w:r>
              <w:rPr>
                <w:rFonts w:ascii="Calibri" w:hAnsi="Calibri"/>
                <w:sz w:val="22"/>
              </w:rPr>
              <w:t>WY drops to $22.46; DHI earnings miss / housing concerns</w:t>
            </w:r>
          </w:p>
        </w:tc>
      </w:tr>
      <w:tr>
        <w:tc>
          <w:tcPr>
            <w:tcW w:type="dxa" w:w="1728"/>
          </w:tcPr>
          <w:p>
            <w:r>
              <w:rPr>
                <w:rFonts w:ascii="Calibri" w:hAnsi="Calibri"/>
                <w:sz w:val="22"/>
              </w:rPr>
              <w:t>Jul 30, 2026</w:t>
            </w:r>
          </w:p>
        </w:tc>
        <w:tc>
          <w:tcPr>
            <w:tcW w:type="dxa" w:w="1728"/>
          </w:tcPr>
          <w:p>
            <w:r>
              <w:rPr>
                <w:rFonts w:ascii="Calibri" w:hAnsi="Calibri"/>
                <w:sz w:val="22"/>
              </w:rPr>
              <w:t>99.7</w:t>
            </w:r>
          </w:p>
        </w:tc>
        <w:tc>
          <w:tcPr>
            <w:tcW w:type="dxa" w:w="1728"/>
          </w:tcPr>
          <w:p>
            <w:r>
              <w:rPr>
                <w:rFonts w:ascii="Calibri" w:hAnsi="Calibri"/>
                <w:sz w:val="22"/>
              </w:rPr>
              <w:t>100.2</w:t>
            </w:r>
          </w:p>
        </w:tc>
        <w:tc>
          <w:tcPr>
            <w:tcW w:type="dxa" w:w="1728"/>
          </w:tcPr>
          <w:p>
            <w:r>
              <w:rPr>
                <w:rFonts w:ascii="Calibri" w:hAnsi="Calibri"/>
                <w:sz w:val="22"/>
              </w:rPr>
              <w:t>101.5</w:t>
            </w:r>
          </w:p>
        </w:tc>
        <w:tc>
          <w:tcPr>
            <w:tcW w:type="dxa" w:w="1728"/>
          </w:tcPr>
          <w:p>
            <w:r>
              <w:rPr>
                <w:rFonts w:ascii="Calibri" w:hAnsi="Calibri"/>
                <w:sz w:val="22"/>
              </w:rPr>
              <w:t>Q2 2026 Earnings Release Day</w:t>
            </w:r>
          </w:p>
        </w:tc>
      </w:tr>
    </w:tbl>
    <w:p>
      <w:r>
        <w:rPr>
          <w:rFonts w:ascii="Calibri" w:hAnsi="Calibri"/>
          <w:i/>
          <w:color w:val="525866"/>
          <w:sz w:val="22"/>
        </w:rPr>
        <w:t>Note: Indexed values computed from closing prices. Source: Stock Price Data (Yahoo Finance). Sector ETF: ITB (iShares U.S. Home Construction ETF) — selected as the most relevant sub-sector proxy for WY’s primary end-market (new residential construction, building products, and home improvement).</w:t>
      </w:r>
    </w:p>
    <w:p>
      <w:r>
        <w:br w:type="page"/>
      </w:r>
    </w:p>
    <w:p>
      <w:pPr>
        <w:pStyle w:val="Heading2"/>
      </w:pPr>
      <w:r>
        <w:rPr>
          <w:rFonts w:ascii="Calibri" w:hAnsi="Calibri"/>
          <w:b/>
          <w:color w:val="3B4259"/>
          <w:sz w:val="28"/>
        </w:rPr>
        <w:t>6. Material News &amp; Developments</w:t>
      </w:r>
    </w:p>
    <w:p>
      <w:r>
        <w:rPr>
          <w:rFonts w:ascii="Calibri" w:hAnsi="Calibri"/>
          <w:b/>
          <w:color w:val="525866"/>
          <w:sz w:val="22"/>
        </w:rPr>
        <w:t xml:space="preserve">Key Takeaway: </w:t>
      </w:r>
      <w:r>
        <w:rPr>
          <w:rFonts w:ascii="Calibri" w:hAnsi="Calibri"/>
          <w:color w:val="525866"/>
          <w:sz w:val="22"/>
        </w:rPr>
        <w:t xml:space="preserve">The most important development since Q1 earnings is the </w:t>
      </w:r>
      <w:r>
        <w:rPr>
          <w:rFonts w:ascii="Calibri" w:hAnsi="Calibri"/>
          <w:b/>
          <w:color w:val="525866"/>
          <w:sz w:val="22"/>
        </w:rPr>
        <w:t>June 25 Q2 outlook update</w:t>
      </w:r>
      <w:r>
        <w:rPr>
          <w:rFonts w:ascii="Calibri" w:hAnsi="Calibri"/>
          <w:color w:val="525866"/>
          <w:sz w:val="22"/>
        </w:rPr>
        <w:t>, which simultaneously confirmed strong lumber pricing and flagged a new operational headwind (U.S. South transportation constraints) — a mixed signal that the market has largely absorbed. The macro backdrop (tariff uncertainty, elevated fuel costs, soft housing) remains the primary overhang.</w:t>
      </w:r>
    </w:p>
    <w:p>
      <w:pPr>
        <w:pStyle w:val="ListBullet"/>
        <w:ind w:left="360" w:hanging="360"/>
      </w:pPr>
      <w:r>
        <w:rPr>
          <w:rFonts w:ascii="Calibri" w:hAnsi="Calibri"/>
          <w:b/>
          <w:color w:val="525866"/>
          <w:sz w:val="22"/>
        </w:rPr>
        <w:t>June 25, 2026 — WY Q2 Outlook Update (8-K / Investor Presentation):</w:t>
      </w:r>
      <w:r>
        <w:rPr>
          <w:rFonts w:ascii="Calibri" w:hAnsi="Calibri"/>
          <w:color w:val="525866"/>
          <w:sz w:val="22"/>
        </w:rPr>
        <w:t xml:space="preserve"> WY filed an 8-K with an updated Q2 2026 investor presentation. Key revisions: (1) Wood Products guidance revised ~$20M lower ex-pricing due to lower lumber volumes and higher unit manufacturing costs from U.S. South transportation constraints; (2) Lumber QTD realizations confirmed at +$65/MBF above Q1 average (as of June 19), implying ~$70M Lumber Adj. EBITDA tailwind; (3) OSB QTD realizations +$5/MSF, current comparable to Q1. Timberlands and SLS guidance unchanged. </w:t>
      </w:r>
    </w:p>
    <w:p>
      <w:pPr>
        <w:pStyle w:val="ListBullet"/>
        <w:ind w:left="360" w:hanging="360"/>
      </w:pPr>
      <w:r>
        <w:rPr>
          <w:rFonts w:ascii="Calibri" w:hAnsi="Calibri"/>
          <w:b/>
          <w:color w:val="525866"/>
          <w:sz w:val="22"/>
        </w:rPr>
        <w:t>July 20–25, 2026 — New U.S. Tariffs on Canadian Goods (Section 338, 50%):</w:t>
      </w:r>
      <w:r>
        <w:rPr>
          <w:rFonts w:ascii="Calibri" w:hAnsi="Calibri"/>
          <w:color w:val="525866"/>
          <w:sz w:val="22"/>
        </w:rPr>
        <w:t xml:space="preserve"> The Trump administration announced 50% tariffs on certain Canadian products effective August 19, 2026. WFG confirmed its softwood lumber and OSB shipments to the U.S. are NOT affected. For WY, this is a net positive — it further restricts Canadian SPF supply into the U.S., reinforcing Southern Yellow Pine’s structural market share gains. Management had previously flagged this dynamic as a durable trend. </w:t>
      </w:r>
    </w:p>
    <w:p>
      <w:pPr>
        <w:pStyle w:val="ListBullet"/>
        <w:ind w:left="360" w:hanging="360"/>
      </w:pPr>
      <w:r>
        <w:rPr>
          <w:rFonts w:ascii="Calibri" w:hAnsi="Calibri"/>
          <w:b/>
          <w:color w:val="525866"/>
          <w:sz w:val="22"/>
        </w:rPr>
        <w:t>July 21, 2026 — D.R. Horton (DHI) Q3 2026 Earnings — Housing Demand Miss:</w:t>
      </w:r>
      <w:r>
        <w:rPr>
          <w:rFonts w:ascii="Calibri" w:hAnsi="Calibri"/>
          <w:color w:val="525866"/>
          <w:sz w:val="22"/>
        </w:rPr>
        <w:t xml:space="preserve"> DHI lowered its housing sales forecast, citing affordability challenges and weak consumer confidence. DHI noted stick-and-brick costs down 2% YoY (reflecting lower lumber/OSB pricing benefiting builders but signaling weak pricing power for WY). DHI flagged a potential lumber headwind in 2027, implying prices may rise from current levels — a longer-term positive for WY. </w:t>
      </w:r>
    </w:p>
    <w:p>
      <w:pPr>
        <w:pStyle w:val="ListBullet"/>
        <w:ind w:left="360" w:hanging="360"/>
      </w:pPr>
      <w:r>
        <w:rPr>
          <w:rFonts w:ascii="Calibri" w:hAnsi="Calibri"/>
          <w:b/>
          <w:color w:val="525866"/>
          <w:sz w:val="22"/>
        </w:rPr>
        <w:t>July 29, 2026 — West Fraser (WFG) Q2 2026 Results:</w:t>
      </w:r>
      <w:r>
        <w:rPr>
          <w:rFonts w:ascii="Calibri" w:hAnsi="Calibri"/>
          <w:color w:val="525866"/>
          <w:sz w:val="22"/>
        </w:rPr>
        <w:t xml:space="preserve"> WFG reported Q2 Adj. EBITDA of $59M (vs. -$66M in Q1), with all core segments positive. Lumber pricing improved sequentially; OSB pricing declined. Resin/wax costs rose ~$13M QoQ. U.S. South transportation costs elevated with most passed to customers. WFG reiterated 2026 SYP/SPF shipment targets. Highly relevant read-through for WY’s Wood Products segment. </w:t>
      </w:r>
    </w:p>
    <w:p>
      <w:pPr>
        <w:pStyle w:val="ListBullet"/>
        <w:ind w:left="360" w:hanging="360"/>
      </w:pPr>
      <w:r>
        <w:rPr>
          <w:rFonts w:ascii="Calibri" w:hAnsi="Calibri"/>
          <w:b/>
          <w:color w:val="525866"/>
          <w:sz w:val="22"/>
        </w:rPr>
        <w:t>July 29, 2026 — UFP Industries (UFPI) Q2 2026 Results:</w:t>
      </w:r>
      <w:r>
        <w:rPr>
          <w:rFonts w:ascii="Calibri" w:hAnsi="Calibri"/>
          <w:color w:val="525866"/>
          <w:sz w:val="22"/>
        </w:rPr>
        <w:t xml:space="preserve"> UFPI reported freight costs up $27M YoY (+1.6% of net sales), with freight spot rates rising over 30% during the quarter before stabilizing. Site Built organic units down 3% on housing affordability headwinds. Full-year outlook unchanged but demand expected at the lower end of guidance. Confirms the transportation cost headwind WY flagged in its June 25 update. </w:t>
      </w:r>
    </w:p>
    <w:p>
      <w:pPr>
        <w:pStyle w:val="ListBullet"/>
        <w:ind w:left="360" w:hanging="360"/>
      </w:pPr>
      <w:r>
        <w:rPr>
          <w:rFonts w:ascii="Calibri" w:hAnsi="Calibri"/>
          <w:b/>
          <w:color w:val="525866"/>
          <w:sz w:val="22"/>
        </w:rPr>
        <w:t>June 25, 2026 — WY Q2 Earnings Release Date Announced:</w:t>
      </w:r>
      <w:r>
        <w:rPr>
          <w:rFonts w:ascii="Calibri" w:hAnsi="Calibri"/>
          <w:color w:val="525866"/>
          <w:sz w:val="22"/>
        </w:rPr>
        <w:t xml:space="preserve"> WY confirmed Q2 2026 results will be released July 30, 2026, with the earnings call on July 31, 2026 at 10:00 AM ET. </w:t>
      </w:r>
    </w:p>
    <w:p>
      <w:pPr>
        <w:pStyle w:val="ListBullet"/>
        <w:ind w:left="360" w:hanging="360"/>
      </w:pPr>
      <w:r>
        <w:rPr>
          <w:rFonts w:ascii="Calibri" w:hAnsi="Calibri"/>
          <w:b/>
          <w:color w:val="525866"/>
          <w:sz w:val="22"/>
        </w:rPr>
        <w:t>June 3, 2026 — Rayonier (RYN) at Nareit REITweek:</w:t>
      </w:r>
      <w:r>
        <w:rPr>
          <w:rFonts w:ascii="Calibri" w:hAnsi="Calibri"/>
          <w:color w:val="525866"/>
          <w:sz w:val="22"/>
        </w:rPr>
        <w:t xml:space="preserve"> RYN management confirmed lumber prices improved in Q2 vs. Q1, with the company profitable in lumber. Demand described as “tepid” but supply side “improved considerably.” RYN noted a disconnect between stock price and private market intrinsic value — the same NAV discount narrative WY management has articulated. </w:t>
      </w:r>
    </w:p>
    <w:p>
      <w:pPr>
        <w:pStyle w:val="ListBullet"/>
        <w:ind w:left="360" w:hanging="360"/>
      </w:pPr>
      <w:r>
        <w:rPr>
          <w:rFonts w:ascii="Calibri" w:hAnsi="Calibri"/>
          <w:b/>
          <w:color w:val="525866"/>
          <w:sz w:val="22"/>
        </w:rPr>
        <w:t>June 2, 2026 — WY CEO/CFO at Nareit REITweek:</w:t>
      </w:r>
      <w:r>
        <w:rPr>
          <w:rFonts w:ascii="Calibri" w:hAnsi="Calibri"/>
          <w:color w:val="525866"/>
          <w:sz w:val="22"/>
        </w:rPr>
        <w:t xml:space="preserve"> Devin Stockfish (CEO) and David Wold (CFO) presented at the Nareit REITweek conference. CFO explicitly confirmed the disconnect between WY’s stock price and private timberland transaction values, noting the incremental EBITDA from the 2030 growth program is the primary structural lever to close the gap alongside share repurchases. </w:t>
      </w:r>
    </w:p>
    <w:p>
      <w:pPr>
        <w:pStyle w:val="ListBullet"/>
        <w:ind w:left="360" w:hanging="360"/>
      </w:pPr>
      <w:r>
        <w:rPr>
          <w:rFonts w:ascii="Calibri" w:hAnsi="Calibri"/>
          <w:b/>
          <w:color w:val="525866"/>
          <w:sz w:val="22"/>
        </w:rPr>
        <w:t>July 17, 2026 — Rayonier Appoints SVP, Wood Products:</w:t>
      </w:r>
      <w:r>
        <w:rPr>
          <w:rFonts w:ascii="Calibri" w:hAnsi="Calibri"/>
          <w:color w:val="525866"/>
          <w:sz w:val="22"/>
        </w:rPr>
        <w:t xml:space="preserve"> RYN appointed Ryan Daniels as Senior Vice President, Wood Products — a leadership investment in the wood products segment consistent with the industry’s view that the lumber cycle is recovering. </w:t>
      </w:r>
    </w:p>
    <w:p>
      <w:pPr>
        <w:pStyle w:val="ListBullet"/>
        <w:ind w:left="360" w:hanging="360"/>
      </w:pPr>
      <w:r>
        <w:rPr>
          <w:rFonts w:ascii="Calibri" w:hAnsi="Calibri"/>
          <w:b/>
          <w:color w:val="525866"/>
          <w:sz w:val="22"/>
        </w:rPr>
        <w:t>Ongoing — Middle East Conflict / Fuel Cost Headwind:</w:t>
      </w:r>
      <w:r>
        <w:rPr>
          <w:rFonts w:ascii="Calibri" w:hAnsi="Calibri"/>
          <w:color w:val="525866"/>
          <w:sz w:val="22"/>
        </w:rPr>
        <w:t xml:space="preserve"> WY flagged a gross headwind of ~$10M/month from elevated energy, transportation, resin, and export freight costs tied to the Middle East conflict. The majority is being offset through procurement and cost-sharing. WFG and UFPI both confirmed similar dynamics in their Q2 results, validating WY’s cost guidance. </w:t>
      </w:r>
    </w:p>
    <w:p>
      <w:pPr>
        <w:pStyle w:val="ListBullet"/>
        <w:ind w:left="360" w:hanging="360"/>
      </w:pPr>
      <w:r>
        <w:rPr>
          <w:rFonts w:ascii="Calibri" w:hAnsi="Calibri"/>
          <w:b/>
          <w:color w:val="525866"/>
          <w:sz w:val="22"/>
        </w:rPr>
        <w:t>Ongoing — AR7 Softwood Lumber Duty Reduction:</w:t>
      </w:r>
      <w:r>
        <w:rPr>
          <w:rFonts w:ascii="Calibri" w:hAnsi="Calibri"/>
          <w:color w:val="525866"/>
          <w:sz w:val="22"/>
        </w:rPr>
        <w:t xml:space="preserve"> Preliminary AR7 results indicate WY’s all-in Canadian lumber duty rate will decline from ~45% to ~35% when finalized (expected late summer/fall 2026). This is a modest competitive headwind (more Canadian supply could enter the U.S.) but management views Southern Yellow Pine structural share gains as durable. WFG’s preliminary CVD rate was set at 16.15% (combined cash deposit rate would drop from 26.47% to 20.92% if finalized). </w:t>
      </w:r>
    </w:p>
    <w:p>
      <w:r>
        <w:br w:type="page"/>
      </w:r>
    </w:p>
    <w:p>
      <w:pPr>
        <w:pStyle w:val="Heading2"/>
      </w:pPr>
      <w:r>
        <w:rPr>
          <w:rFonts w:ascii="Calibri" w:hAnsi="Calibri"/>
          <w:b/>
          <w:color w:val="3B4259"/>
          <w:sz w:val="28"/>
        </w:rPr>
        <w:t>8. Insider Transaction Activity</w:t>
      </w:r>
    </w:p>
    <w:p>
      <w:r>
        <w:rPr>
          <w:rFonts w:ascii="Calibri" w:hAnsi="Calibri"/>
          <w:b/>
          <w:color w:val="525866"/>
          <w:sz w:val="22"/>
        </w:rPr>
        <w:t xml:space="preserve">Key Takeaway: </w:t>
      </w:r>
      <w:r>
        <w:rPr>
          <w:rFonts w:ascii="Calibri" w:hAnsi="Calibri"/>
          <w:color w:val="525866"/>
          <w:sz w:val="22"/>
        </w:rPr>
        <w:t xml:space="preserve">No open-market buys or discretionary sells since Q1 earnings. All transactions are routine — director equity grants (code A) and tax-withholding share forfeitures (code F) associated with vesting events. </w:t>
      </w:r>
      <w:r>
        <w:rPr>
          <w:rFonts w:ascii="Calibri" w:hAnsi="Calibri"/>
          <w:b/>
          <w:color w:val="525866"/>
          <w:sz w:val="22"/>
        </w:rPr>
        <w:t>Nothing notable to flag; insider activity is neutral.</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shd w:val="clear" w:color="auto" w:fill="3B4259"/>
          </w:tcPr>
          <w:p>
            <w:r>
              <w:rPr>
                <w:rFonts w:ascii="Calibri" w:hAnsi="Calibri"/>
                <w:b/>
                <w:color w:val="FFFFFF"/>
                <w:sz w:val="22"/>
              </w:rPr>
              <w:t>Name</w:t>
            </w:r>
          </w:p>
        </w:tc>
        <w:tc>
          <w:tcPr>
            <w:tcW w:type="dxa" w:w="1440"/>
            <w:shd w:val="clear" w:color="auto" w:fill="3B4259"/>
          </w:tcPr>
          <w:p>
            <w:r>
              <w:rPr>
                <w:rFonts w:ascii="Calibri" w:hAnsi="Calibri"/>
                <w:b/>
                <w:color w:val="FFFFFF"/>
                <w:sz w:val="22"/>
              </w:rPr>
              <w:t>Title</w:t>
            </w:r>
          </w:p>
        </w:tc>
        <w:tc>
          <w:tcPr>
            <w:tcW w:type="dxa" w:w="1440"/>
            <w:shd w:val="clear" w:color="auto" w:fill="3B4259"/>
          </w:tcPr>
          <w:p>
            <w:r>
              <w:rPr>
                <w:rFonts w:ascii="Calibri" w:hAnsi="Calibri"/>
                <w:b/>
                <w:color w:val="FFFFFF"/>
                <w:sz w:val="22"/>
              </w:rPr>
              <w:t>Transaction Type</w:t>
            </w:r>
          </w:p>
        </w:tc>
        <w:tc>
          <w:tcPr>
            <w:tcW w:type="dxa" w:w="1440"/>
            <w:shd w:val="clear" w:color="auto" w:fill="3B4259"/>
          </w:tcPr>
          <w:p>
            <w:r>
              <w:rPr>
                <w:rFonts w:ascii="Calibri" w:hAnsi="Calibri"/>
                <w:b/>
                <w:color w:val="FFFFFF"/>
                <w:sz w:val="22"/>
              </w:rPr>
              <w:t>Shares</w:t>
            </w:r>
          </w:p>
        </w:tc>
        <w:tc>
          <w:tcPr>
            <w:tcW w:type="dxa" w:w="1440"/>
            <w:shd w:val="clear" w:color="auto" w:fill="3B4259"/>
          </w:tcPr>
          <w:p>
            <w:r>
              <w:rPr>
                <w:rFonts w:ascii="Calibri" w:hAnsi="Calibri"/>
                <w:b/>
                <w:color w:val="FFFFFF"/>
                <w:sz w:val="22"/>
              </w:rPr>
              <w:t>Date</w:t>
            </w:r>
          </w:p>
        </w:tc>
        <w:tc>
          <w:tcPr>
            <w:tcW w:type="dxa" w:w="1440"/>
            <w:shd w:val="clear" w:color="auto" w:fill="3B4259"/>
          </w:tcPr>
          <w:p>
            <w:r>
              <w:rPr>
                <w:rFonts w:ascii="Calibri" w:hAnsi="Calibri"/>
                <w:b/>
                <w:color w:val="FFFFFF"/>
                <w:sz w:val="22"/>
              </w:rPr>
              <w:t>Note</w:t>
            </w:r>
          </w:p>
        </w:tc>
      </w:tr>
      <w:tr>
        <w:tc>
          <w:tcPr>
            <w:tcW w:type="dxa" w:w="1440"/>
          </w:tcPr>
          <w:p>
            <w:r>
              <w:rPr>
                <w:rFonts w:ascii="Calibri" w:hAnsi="Calibri"/>
                <w:sz w:val="22"/>
              </w:rPr>
              <w:t>Chaney, Brian K.</w:t>
            </w:r>
          </w:p>
        </w:tc>
        <w:tc>
          <w:tcPr>
            <w:tcW w:type="dxa" w:w="1440"/>
          </w:tcPr>
          <w:p>
            <w:r>
              <w:rPr>
                <w:rFonts w:ascii="Calibri" w:hAnsi="Calibri"/>
                <w:sz w:val="22"/>
              </w:rPr>
              <w:t>Senior Vice President</w:t>
            </w:r>
          </w:p>
        </w:tc>
        <w:tc>
          <w:tcPr>
            <w:tcW w:type="dxa" w:w="1440"/>
          </w:tcPr>
          <w:p>
            <w:r>
              <w:rPr>
                <w:rFonts w:ascii="Calibri" w:hAnsi="Calibri"/>
                <w:sz w:val="22"/>
              </w:rPr>
              <w:t>Tax Withholding (F)</w:t>
            </w:r>
          </w:p>
        </w:tc>
        <w:tc>
          <w:tcPr>
            <w:tcW w:type="dxa" w:w="1440"/>
          </w:tcPr>
          <w:p>
            <w:r>
              <w:rPr>
                <w:rFonts w:ascii="Calibri" w:hAnsi="Calibri"/>
                <w:sz w:val="22"/>
              </w:rPr>
              <w:t>3,491</w:t>
            </w:r>
          </w:p>
        </w:tc>
        <w:tc>
          <w:tcPr>
            <w:tcW w:type="dxa" w:w="1440"/>
          </w:tcPr>
          <w:p>
            <w:r>
              <w:rPr>
                <w:rFonts w:ascii="Calibri" w:hAnsi="Calibri"/>
                <w:sz w:val="22"/>
              </w:rPr>
              <w:t>Jun 3, 2026</w:t>
            </w:r>
          </w:p>
        </w:tc>
        <w:tc>
          <w:tcPr>
            <w:tcW w:type="dxa" w:w="1440"/>
          </w:tcPr>
          <w:p>
            <w:r>
              <w:rPr>
                <w:rFonts w:ascii="Calibri" w:hAnsi="Calibri"/>
                <w:sz w:val="22"/>
              </w:rPr>
              <w:t>Shares withheld for tax on vesting; routine, not discretionary</w:t>
            </w:r>
          </w:p>
        </w:tc>
      </w:tr>
      <w:tr>
        <w:tc>
          <w:tcPr>
            <w:tcW w:type="dxa" w:w="1440"/>
          </w:tcPr>
          <w:p>
            <w:r>
              <w:rPr>
                <w:rFonts w:ascii="Calibri" w:hAnsi="Calibri"/>
                <w:sz w:val="22"/>
              </w:rPr>
              <w:t>Wold, David M.</w:t>
            </w:r>
          </w:p>
        </w:tc>
        <w:tc>
          <w:tcPr>
            <w:tcW w:type="dxa" w:w="1440"/>
          </w:tcPr>
          <w:p>
            <w:r>
              <w:rPr>
                <w:rFonts w:ascii="Calibri" w:hAnsi="Calibri"/>
                <w:sz w:val="22"/>
              </w:rPr>
              <w:t>SVP &amp; CFO</w:t>
            </w:r>
          </w:p>
        </w:tc>
        <w:tc>
          <w:tcPr>
            <w:tcW w:type="dxa" w:w="1440"/>
          </w:tcPr>
          <w:p>
            <w:r>
              <w:rPr>
                <w:rFonts w:ascii="Calibri" w:hAnsi="Calibri"/>
                <w:sz w:val="22"/>
              </w:rPr>
              <w:t>Tax Withholding (F) — 10b5-1</w:t>
            </w:r>
          </w:p>
        </w:tc>
        <w:tc>
          <w:tcPr>
            <w:tcW w:type="dxa" w:w="1440"/>
          </w:tcPr>
          <w:p>
            <w:r>
              <w:rPr>
                <w:rFonts w:ascii="Calibri" w:hAnsi="Calibri"/>
                <w:sz w:val="22"/>
              </w:rPr>
              <w:t>1,062</w:t>
            </w:r>
          </w:p>
        </w:tc>
        <w:tc>
          <w:tcPr>
            <w:tcW w:type="dxa" w:w="1440"/>
          </w:tcPr>
          <w:p>
            <w:r>
              <w:rPr>
                <w:rFonts w:ascii="Calibri" w:hAnsi="Calibri"/>
                <w:sz w:val="22"/>
              </w:rPr>
              <w:t>May 16, 2026</w:t>
            </w:r>
          </w:p>
        </w:tc>
        <w:tc>
          <w:tcPr>
            <w:tcW w:type="dxa" w:w="1440"/>
          </w:tcPr>
          <w:p>
            <w:r>
              <w:rPr>
                <w:rFonts w:ascii="Calibri" w:hAnsi="Calibri"/>
                <w:sz w:val="22"/>
              </w:rPr>
              <w:t>Under 10b5-1 plan; tax withholding on vesting; routine</w:t>
            </w:r>
          </w:p>
        </w:tc>
      </w:tr>
      <w:tr>
        <w:tc>
          <w:tcPr>
            <w:tcW w:type="dxa" w:w="1440"/>
          </w:tcPr>
          <w:p>
            <w:r>
              <w:rPr>
                <w:rFonts w:ascii="Calibri" w:hAnsi="Calibri"/>
                <w:sz w:val="22"/>
              </w:rPr>
              <w:t>Multiple Directors (8 individuals)</w:t>
            </w:r>
          </w:p>
        </w:tc>
        <w:tc>
          <w:tcPr>
            <w:tcW w:type="dxa" w:w="1440"/>
          </w:tcPr>
          <w:p>
            <w:r>
              <w:rPr>
                <w:rFonts w:ascii="Calibri" w:hAnsi="Calibri"/>
                <w:sz w:val="22"/>
              </w:rPr>
              <w:t>Director</w:t>
            </w:r>
          </w:p>
        </w:tc>
        <w:tc>
          <w:tcPr>
            <w:tcW w:type="dxa" w:w="1440"/>
          </w:tcPr>
          <w:p>
            <w:r>
              <w:rPr>
                <w:rFonts w:ascii="Calibri" w:hAnsi="Calibri"/>
                <w:sz w:val="22"/>
              </w:rPr>
              <w:t>Equity Grant (A)</w:t>
            </w:r>
          </w:p>
        </w:tc>
        <w:tc>
          <w:tcPr>
            <w:tcW w:type="dxa" w:w="1440"/>
          </w:tcPr>
          <w:p>
            <w:r>
              <w:rPr>
                <w:rFonts w:ascii="Calibri" w:hAnsi="Calibri"/>
                <w:sz w:val="22"/>
              </w:rPr>
              <w:t>7,832–12,758 each</w:t>
            </w:r>
          </w:p>
        </w:tc>
        <w:tc>
          <w:tcPr>
            <w:tcW w:type="dxa" w:w="1440"/>
          </w:tcPr>
          <w:p>
            <w:r>
              <w:rPr>
                <w:rFonts w:ascii="Calibri" w:hAnsi="Calibri"/>
                <w:sz w:val="22"/>
              </w:rPr>
              <w:t>May 15, 2026</w:t>
            </w:r>
          </w:p>
        </w:tc>
        <w:tc>
          <w:tcPr>
            <w:tcW w:type="dxa" w:w="1440"/>
          </w:tcPr>
          <w:p>
            <w:r>
              <w:rPr>
                <w:rFonts w:ascii="Calibri" w:hAnsi="Calibri"/>
                <w:sz w:val="22"/>
              </w:rPr>
              <w:t>Annual director equity grants; routine compensation; not market signal</w:t>
            </w:r>
          </w:p>
        </w:tc>
      </w:tr>
      <w:tr>
        <w:tc>
          <w:tcPr>
            <w:tcW w:type="dxa" w:w="1440"/>
          </w:tcPr>
          <w:p>
            <w:r>
              <w:rPr>
                <w:rFonts w:ascii="Calibri" w:hAnsi="Calibri"/>
                <w:sz w:val="22"/>
              </w:rPr>
              <w:t>Multiple Directors (6 individuals)</w:t>
            </w:r>
          </w:p>
        </w:tc>
        <w:tc>
          <w:tcPr>
            <w:tcW w:type="dxa" w:w="1440"/>
          </w:tcPr>
          <w:p>
            <w:r>
              <w:rPr>
                <w:rFonts w:ascii="Calibri" w:hAnsi="Calibri"/>
                <w:sz w:val="22"/>
              </w:rPr>
              <w:t>Director</w:t>
            </w:r>
          </w:p>
        </w:tc>
        <w:tc>
          <w:tcPr>
            <w:tcW w:type="dxa" w:w="1440"/>
          </w:tcPr>
          <w:p>
            <w:r>
              <w:rPr>
                <w:rFonts w:ascii="Calibri" w:hAnsi="Calibri"/>
                <w:sz w:val="22"/>
              </w:rPr>
              <w:t>Tax Withholding (F)</w:t>
            </w:r>
          </w:p>
        </w:tc>
        <w:tc>
          <w:tcPr>
            <w:tcW w:type="dxa" w:w="1440"/>
          </w:tcPr>
          <w:p>
            <w:r>
              <w:rPr>
                <w:rFonts w:ascii="Calibri" w:hAnsi="Calibri"/>
                <w:sz w:val="22"/>
              </w:rPr>
              <w:t>60–2,386 each</w:t>
            </w:r>
          </w:p>
        </w:tc>
        <w:tc>
          <w:tcPr>
            <w:tcW w:type="dxa" w:w="1440"/>
          </w:tcPr>
          <w:p>
            <w:r>
              <w:rPr>
                <w:rFonts w:ascii="Calibri" w:hAnsi="Calibri"/>
                <w:sz w:val="22"/>
              </w:rPr>
              <w:t>May 9, 2026</w:t>
            </w:r>
          </w:p>
        </w:tc>
        <w:tc>
          <w:tcPr>
            <w:tcW w:type="dxa" w:w="1440"/>
          </w:tcPr>
          <w:p>
            <w:r>
              <w:rPr>
                <w:rFonts w:ascii="Calibri" w:hAnsi="Calibri"/>
                <w:sz w:val="22"/>
              </w:rPr>
              <w:t>Shares withheld for tax on vesting; routine; one (Monaco) under 10b5-1 plan</w:t>
            </w:r>
          </w:p>
        </w:tc>
      </w:tr>
    </w:tbl>
    <w:p>
      <w:r>
        <w:rPr>
          <w:rFonts w:ascii="Calibri" w:hAnsi="Calibri"/>
          <w:i/>
          <w:color w:val="525866"/>
          <w:sz w:val="22"/>
        </w:rPr>
        <w:t>No open-market purchases (code P) or discretionary sales (code S) were filed in the period. All activity consists of routine director equity grants and tax-withholding forfeitures on vesting events. The absence of open-market buying by management at current prices (stock trading near 52-week lows relative to private market value) is notable but not alarming given the 10b5-1 plan structure and the company’s stated preference for share repurchases at the corporate level. Source: Insider Transaction Data (SEC Form 4 Filings).</w:t>
      </w:r>
    </w:p>
    <w:p>
      <w:r>
        <w:br w:type="page"/>
      </w:r>
    </w:p>
    <w:p>
      <w:pPr>
        <w:pStyle w:val="Heading2"/>
      </w:pPr>
      <w:r>
        <w:rPr>
          <w:rFonts w:ascii="Calibri" w:hAnsi="Calibri"/>
          <w:b/>
          <w:color w:val="3B4259"/>
          <w:sz w:val="28"/>
        </w:rPr>
        <w:t>9. Key Risks &amp; Watch Items</w:t>
      </w:r>
    </w:p>
    <w:p>
      <w:r>
        <w:rPr>
          <w:rFonts w:ascii="Calibri" w:hAnsi="Calibri"/>
          <w:b/>
          <w:color w:val="525866"/>
          <w:sz w:val="22"/>
        </w:rPr>
        <w:t xml:space="preserve">Key Takeaway: </w:t>
      </w:r>
      <w:r>
        <w:rPr>
          <w:rFonts w:ascii="Calibri" w:hAnsi="Calibri"/>
          <w:color w:val="525866"/>
          <w:sz w:val="22"/>
        </w:rPr>
        <w:t xml:space="preserve">The risk/reward is </w:t>
      </w:r>
      <w:r>
        <w:rPr>
          <w:rFonts w:ascii="Calibri" w:hAnsi="Calibri"/>
          <w:b/>
          <w:color w:val="525866"/>
          <w:sz w:val="22"/>
        </w:rPr>
        <w:t>asymmetric to the upside on lumber pricing</w:t>
      </w:r>
      <w:r>
        <w:rPr>
          <w:rFonts w:ascii="Calibri" w:hAnsi="Calibri"/>
          <w:color w:val="525866"/>
          <w:sz w:val="22"/>
        </w:rPr>
        <w:t xml:space="preserve"> but the downside risks (OSB softness, transportation costs, housing demand, leverage) are real and well-documented by peers. The single biggest watch item for the print is whether lumber volumes recovered from the transportation-constrained Q2 pace.</w:t>
      </w:r>
    </w:p>
    <w:p>
      <w:pPr>
        <w:pStyle w:val="ListBullet"/>
        <w:ind w:left="360" w:hanging="360"/>
      </w:pPr>
      <w:r>
        <w:rPr>
          <w:rFonts w:ascii="Calibri" w:hAnsi="Calibri"/>
          <w:b/>
          <w:color w:val="525866"/>
          <w:sz w:val="22"/>
        </w:rPr>
        <w:t>OSB Pricing Downside Risk:</w:t>
      </w:r>
      <w:r>
        <w:rPr>
          <w:rFonts w:ascii="Calibri" w:hAnsi="Calibri"/>
          <w:color w:val="525866"/>
          <w:sz w:val="22"/>
        </w:rPr>
        <w:t xml:space="preserve"> WFG’s Q2 results showed OSB pricing declined sequentially. WY’s consensus OSB realization of $244/MSF may be at risk. Every $10/MSF change in OSB realizations impacts annual Adj. EBITDA by ~$30M (per WY sensitivity). A miss on OSB could offset the lumber pricing tailwind.</w:t>
      </w:r>
    </w:p>
    <w:p>
      <w:pPr>
        <w:pStyle w:val="ListBullet"/>
        <w:ind w:left="360" w:hanging="360"/>
      </w:pPr>
      <w:r>
        <w:rPr>
          <w:rFonts w:ascii="Calibri" w:hAnsi="Calibri"/>
          <w:b/>
          <w:color w:val="525866"/>
          <w:sz w:val="22"/>
        </w:rPr>
        <w:t>Transportation Cost Severity:</w:t>
      </w:r>
      <w:r>
        <w:rPr>
          <w:rFonts w:ascii="Calibri" w:hAnsi="Calibri"/>
          <w:color w:val="525866"/>
          <w:sz w:val="22"/>
        </w:rPr>
        <w:t xml:space="preserve"> UFPI reported freight spot rates rose over 30% in Q2 before stabilizing. WY’s June 25 update flagged lower lumber volumes and higher unit costs from transportation constraints. The degree to which WY was able to pass these costs through via delivered pricing is the key unknown.</w:t>
      </w:r>
    </w:p>
    <w:p>
      <w:pPr>
        <w:pStyle w:val="ListBullet"/>
        <w:ind w:left="360" w:hanging="360"/>
      </w:pPr>
      <w:r>
        <w:rPr>
          <w:rFonts w:ascii="Calibri" w:hAnsi="Calibri"/>
          <w:b/>
          <w:color w:val="525866"/>
          <w:sz w:val="22"/>
        </w:rPr>
        <w:t>Elevated Leverage (5.0x Net Debt/EBITDA):</w:t>
      </w:r>
      <w:r>
        <w:rPr>
          <w:rFonts w:ascii="Calibri" w:hAnsi="Calibri"/>
          <w:color w:val="525866"/>
          <w:sz w:val="22"/>
        </w:rPr>
        <w:t xml:space="preserve"> WY’s net debt/EBITDA reached 5.0x in Q4 2025 (vs. 3.5x mid-cycle target). While management views this as cyclical, any disappointment in Wood Products EBITDA recovery delays the deleveraging path and could pressure the stock multiple.</w:t>
      </w:r>
    </w:p>
    <w:p>
      <w:pPr>
        <w:pStyle w:val="ListBullet"/>
        <w:ind w:left="360" w:hanging="360"/>
      </w:pPr>
      <w:r>
        <w:rPr>
          <w:rFonts w:ascii="Calibri" w:hAnsi="Calibri"/>
          <w:b/>
          <w:color w:val="525866"/>
          <w:sz w:val="22"/>
        </w:rPr>
        <w:t>Housing Demand Trajectory:</w:t>
      </w:r>
      <w:r>
        <w:rPr>
          <w:rFonts w:ascii="Calibri" w:hAnsi="Calibri"/>
          <w:color w:val="525866"/>
          <w:sz w:val="22"/>
        </w:rPr>
        <w:t xml:space="preserve"> DHI lowered its housing sales forecast; UFPI flagged Site Built demand at the lower end of guidance. If spring/summer 2026 housing starts disappoint, WY’s Wood Products volume recovery could stall in H2 2026.</w:t>
      </w:r>
    </w:p>
    <w:p>
      <w:pPr>
        <w:pStyle w:val="ListBullet"/>
        <w:ind w:left="360" w:hanging="360"/>
      </w:pPr>
      <w:r>
        <w:rPr>
          <w:rFonts w:ascii="Calibri" w:hAnsi="Calibri"/>
          <w:b/>
          <w:color w:val="525866"/>
          <w:sz w:val="22"/>
        </w:rPr>
        <w:t>AR7 Duty Finalization (Late Summer/Fall 2026):</w:t>
      </w:r>
      <w:r>
        <w:rPr>
          <w:rFonts w:ascii="Calibri" w:hAnsi="Calibri"/>
          <w:color w:val="525866"/>
          <w:sz w:val="22"/>
        </w:rPr>
        <w:t xml:space="preserve"> Final AR7 results (expected August–fall 2026) will reduce all-in Canadian lumber duties from ~45% to ~35%. This could modestly increase SPF competition in the U.S. market, though management views SYP structural share gains as durable.</w:t>
      </w:r>
    </w:p>
    <w:p>
      <w:pPr>
        <w:pStyle w:val="ListBullet"/>
        <w:ind w:left="360" w:hanging="360"/>
      </w:pPr>
      <w:r>
        <w:rPr>
          <w:rFonts w:ascii="Calibri" w:hAnsi="Calibri"/>
          <w:b/>
          <w:color w:val="525866"/>
          <w:sz w:val="22"/>
        </w:rPr>
        <w:t>Middle East Conflict / Energy Costs:</w:t>
      </w:r>
      <w:r>
        <w:rPr>
          <w:rFonts w:ascii="Calibri" w:hAnsi="Calibri"/>
          <w:color w:val="525866"/>
          <w:sz w:val="22"/>
        </w:rPr>
        <w:t xml:space="preserve"> WY flagged a gross headwind of ~$10M/month from elevated energy, transportation, resin, and export freight costs. Diesel prices surged in late July (national average diesel ~$5.13/gallon per news reports). If the conflict escalates, this headwind could worsen in H2 2026.</w:t>
      </w:r>
    </w:p>
    <w:p>
      <w:pPr>
        <w:pStyle w:val="ListBullet"/>
        <w:ind w:left="360" w:hanging="360"/>
      </w:pPr>
      <w:r>
        <w:rPr>
          <w:rFonts w:ascii="Calibri" w:hAnsi="Calibri"/>
          <w:b/>
          <w:color w:val="525866"/>
          <w:sz w:val="22"/>
        </w:rPr>
        <w:t>SLS Timing Risk:</w:t>
      </w:r>
      <w:r>
        <w:rPr>
          <w:rFonts w:ascii="Calibri" w:hAnsi="Calibri"/>
          <w:color w:val="525866"/>
          <w:sz w:val="22"/>
        </w:rPr>
        <w:t xml:space="preserve"> Q2 SLS Adj. EBITDA is guided ~$70M lower than Q1 due to the absence of the large Florida conservation easement. If real estate transaction timing slips further, SLS could miss the $123M consensus estimate.</w:t>
      </w:r>
    </w:p>
    <w:p>
      <w:pPr>
        <w:pStyle w:val="ListBullet"/>
        <w:ind w:left="360" w:hanging="360"/>
      </w:pPr>
      <w:r>
        <w:rPr>
          <w:rFonts w:ascii="Calibri" w:hAnsi="Calibri"/>
          <w:b/>
          <w:color w:val="525866"/>
          <w:sz w:val="22"/>
        </w:rPr>
        <w:t>Monticello CapEx Execution:</w:t>
      </w:r>
      <w:r>
        <w:rPr>
          <w:rFonts w:ascii="Calibri" w:hAnsi="Calibri"/>
          <w:color w:val="525866"/>
          <w:sz w:val="22"/>
        </w:rPr>
        <w:t xml:space="preserve"> The $300M 2026 Monticello TimberStrand CapEx program is excluded from adjusted FAD but consumes significant cash. Any cost overruns or delays (tariff impacts on steel/aluminum inputs) could pressure the balance sheet and delay the 2027 EBITDA contribution.</w:t>
      </w:r>
    </w:p>
    <w:p>
      <w:pPr>
        <w:pStyle w:val="ListBullet"/>
        <w:ind w:left="360" w:hanging="360"/>
      </w:pPr>
      <w:r>
        <w:rPr>
          <w:rFonts w:ascii="Calibri" w:hAnsi="Calibri"/>
          <w:b/>
          <w:color w:val="525866"/>
          <w:sz w:val="22"/>
        </w:rPr>
        <w:t>Climate Solutions Upside Wildcard:</w:t>
      </w:r>
      <w:r>
        <w:rPr>
          <w:rFonts w:ascii="Calibri" w:hAnsi="Calibri"/>
          <w:color w:val="525866"/>
          <w:sz w:val="22"/>
        </w:rPr>
        <w:t xml:space="preserve"> WY’s Climate Solutions business (forest carbon, renewables, biocarbon) is a growing contributor not fully reflected in consensus. Any acceleration in carbon credit generation, new solar/wind agreements, or Aymium biocarbon milestones could be a positive surprise in the SLS segment.</w:t>
      </w:r>
    </w:p>
    <w:p>
      <w:r>
        <w:br w:type="page"/>
      </w:r>
    </w:p>
    <w:p>
      <w:pPr>
        <w:pStyle w:val="Heading2"/>
      </w:pPr>
      <w:r>
        <w:rPr>
          <w:rFonts w:ascii="Calibri" w:hAnsi="Calibri"/>
          <w:b/>
          <w:color w:val="3B4259"/>
          <w:sz w:val="28"/>
        </w:rPr>
        <w:t>Appendix: Data Sources &amp; Citations</w:t>
      </w:r>
    </w:p>
    <w:p>
      <w:pPr>
        <w:pStyle w:val="ListBullet"/>
        <w:ind w:left="360" w:hanging="360"/>
      </w:pPr>
      <w:r>
        <w:rPr>
          <w:rFonts w:ascii="Calibri" w:hAnsi="Calibri"/>
          <w:b/>
          <w:color w:val="525866"/>
          <w:sz w:val="22"/>
        </w:rPr>
        <w:t>Visible Alpha Consensus and Actuals Data</w:t>
      </w:r>
      <w:r>
        <w:rPr>
          <w:rFonts w:ascii="Calibri" w:hAnsi="Calibri"/>
          <w:color w:val="525866"/>
          <w:sz w:val="22"/>
        </w:rPr>
        <w:t xml:space="preserve"> — All KPI consensus estimates and actuals (EPS, Net Sales, Adjusted EBITDA, segment EBITDA, lumber/OSB realizations). Source: https://insights.visiblealpha.com/mex/WY_US/NMV/IS and /SG and /Wdprod</w:t>
      </w:r>
    </w:p>
    <w:p>
      <w:pPr>
        <w:pStyle w:val="ListBullet"/>
        <w:ind w:left="360" w:hanging="360"/>
      </w:pPr>
      <w:r>
        <w:rPr>
          <w:rFonts w:ascii="Calibri" w:hAnsi="Calibri"/>
          <w:b/>
          <w:color w:val="525866"/>
          <w:sz w:val="22"/>
        </w:rPr>
        <w:t>WY Q1 2026 Earnings Call Transcript</w:t>
      </w:r>
      <w:r>
        <w:rPr>
          <w:rFonts w:ascii="Calibri" w:hAnsi="Calibri"/>
          <w:color w:val="525866"/>
          <w:sz w:val="22"/>
        </w:rPr>
        <w:t xml:space="preserve"> — May 1, 2026. Q2 2026 guidance by segment, management commentary on housing, lumber/OSB pricing, capital allocation, and key risks.</w:t>
      </w:r>
    </w:p>
    <w:p>
      <w:pPr>
        <w:pStyle w:val="ListBullet"/>
        <w:ind w:left="360" w:hanging="360"/>
      </w:pPr>
      <w:r>
        <w:rPr>
          <w:rFonts w:ascii="Calibri" w:hAnsi="Calibri"/>
          <w:b/>
          <w:color w:val="525866"/>
          <w:sz w:val="22"/>
        </w:rPr>
        <w:t>WY June 25, 2026 Investor Presentation (8-K EX-99.1)</w:t>
      </w:r>
      <w:r>
        <w:rPr>
          <w:rFonts w:ascii="Calibri" w:hAnsi="Calibri"/>
          <w:color w:val="525866"/>
          <w:sz w:val="22"/>
        </w:rPr>
        <w:t xml:space="preserve"> — Q2 2026 outlook update: Wood Products guidance revision, lumber/OSB QTD pricing data, sensitivity analysis.</w:t>
      </w:r>
    </w:p>
    <w:p>
      <w:pPr>
        <w:pStyle w:val="ListBullet"/>
        <w:ind w:left="360" w:hanging="360"/>
      </w:pPr>
      <w:r>
        <w:rPr>
          <w:rFonts w:ascii="Calibri" w:hAnsi="Calibri"/>
          <w:b/>
          <w:color w:val="525866"/>
          <w:sz w:val="22"/>
        </w:rPr>
        <w:t>WY Q1 2026 Earnings Release (April 30, 2026)</w:t>
      </w:r>
      <w:r>
        <w:rPr>
          <w:rFonts w:ascii="Calibri" w:hAnsi="Calibri"/>
          <w:color w:val="525866"/>
          <w:sz w:val="22"/>
        </w:rPr>
        <w:t xml:space="preserve"> — Q1 2026 actuals by segment.</w:t>
      </w:r>
    </w:p>
    <w:p>
      <w:pPr>
        <w:pStyle w:val="ListBullet"/>
        <w:ind w:left="360" w:hanging="360"/>
      </w:pPr>
      <w:r>
        <w:rPr>
          <w:rFonts w:ascii="Calibri" w:hAnsi="Calibri"/>
          <w:b/>
          <w:color w:val="525866"/>
          <w:sz w:val="22"/>
        </w:rPr>
        <w:t>West Fraser Timber (WFG) Q2 2026 Earnings Release &amp; MD&amp;A</w:t>
      </w:r>
      <w:r>
        <w:rPr>
          <w:rFonts w:ascii="Calibri" w:hAnsi="Calibri"/>
          <w:color w:val="525866"/>
          <w:sz w:val="22"/>
        </w:rPr>
        <w:t xml:space="preserve"> — July 29, 2026. Lumber/OSB pricing, volumes, costs, tariff commentary.</w:t>
      </w:r>
    </w:p>
    <w:p>
      <w:pPr>
        <w:pStyle w:val="ListBullet"/>
        <w:ind w:left="360" w:hanging="360"/>
      </w:pPr>
      <w:r>
        <w:rPr>
          <w:rFonts w:ascii="Calibri" w:hAnsi="Calibri"/>
          <w:b/>
          <w:color w:val="525866"/>
          <w:sz w:val="22"/>
        </w:rPr>
        <w:t>UFP Industries (UFPI) Q2 2026 Earnings Release</w:t>
      </w:r>
      <w:r>
        <w:rPr>
          <w:rFonts w:ascii="Calibri" w:hAnsi="Calibri"/>
          <w:color w:val="525866"/>
          <w:sz w:val="22"/>
        </w:rPr>
        <w:t xml:space="preserve"> — July 29, 2026. Transportation costs, housing demand, lumber pricing.</w:t>
      </w:r>
    </w:p>
    <w:p>
      <w:pPr>
        <w:pStyle w:val="ListBullet"/>
        <w:ind w:left="360" w:hanging="360"/>
      </w:pPr>
      <w:r>
        <w:rPr>
          <w:rFonts w:ascii="Calibri" w:hAnsi="Calibri"/>
          <w:b/>
          <w:color w:val="525866"/>
          <w:sz w:val="22"/>
        </w:rPr>
        <w:t>Rayonier (RYN) Nareit REITweek Conference Transcript</w:t>
      </w:r>
      <w:r>
        <w:rPr>
          <w:rFonts w:ascii="Calibri" w:hAnsi="Calibri"/>
          <w:color w:val="525866"/>
          <w:sz w:val="22"/>
        </w:rPr>
        <w:t xml:space="preserve"> — June 3, 2026. Lumber pricing, demand, NAV discount, alternative revenue.</w:t>
      </w:r>
    </w:p>
    <w:p>
      <w:pPr>
        <w:pStyle w:val="ListBullet"/>
        <w:ind w:left="360" w:hanging="360"/>
      </w:pPr>
      <w:r>
        <w:rPr>
          <w:rFonts w:ascii="Calibri" w:hAnsi="Calibri"/>
          <w:b/>
          <w:color w:val="525866"/>
          <w:sz w:val="22"/>
        </w:rPr>
        <w:t>D.R. Horton (DHI) Q3 2026 Earnings Release</w:t>
      </w:r>
      <w:r>
        <w:rPr>
          <w:rFonts w:ascii="Calibri" w:hAnsi="Calibri"/>
          <w:color w:val="525866"/>
          <w:sz w:val="22"/>
        </w:rPr>
        <w:t xml:space="preserve"> — July 21, 2026. Housing demand, stick-and-brick costs, lumber outlook.</w:t>
      </w:r>
    </w:p>
    <w:p>
      <w:pPr>
        <w:pStyle w:val="ListBullet"/>
        <w:ind w:left="360" w:hanging="360"/>
      </w:pPr>
      <w:r>
        <w:rPr>
          <w:rFonts w:ascii="Calibri" w:hAnsi="Calibri"/>
          <w:b/>
          <w:color w:val="525866"/>
          <w:sz w:val="22"/>
        </w:rPr>
        <w:t>Stock Price Data (Yahoo Finance)</w:t>
      </w:r>
      <w:r>
        <w:rPr>
          <w:rFonts w:ascii="Calibri" w:hAnsi="Calibri"/>
          <w:color w:val="525866"/>
          <w:sz w:val="22"/>
        </w:rPr>
        <w:t xml:space="preserve"> — WY, ITB, SPY closing prices April 30 – July 30, 2026.</w:t>
      </w:r>
    </w:p>
    <w:p>
      <w:pPr>
        <w:pStyle w:val="ListBullet"/>
        <w:ind w:left="360" w:hanging="360"/>
      </w:pPr>
      <w:r>
        <w:rPr>
          <w:rFonts w:ascii="Calibri" w:hAnsi="Calibri"/>
          <w:b/>
          <w:color w:val="525866"/>
          <w:sz w:val="22"/>
        </w:rPr>
        <w:t>Insider Transaction Data (SEC Form 4 Filings)</w:t>
      </w:r>
      <w:r>
        <w:rPr>
          <w:rFonts w:ascii="Calibri" w:hAnsi="Calibri"/>
          <w:color w:val="525866"/>
          <w:sz w:val="22"/>
        </w:rPr>
        <w:t xml:space="preserve"> — WY insider transactions May–June 2026. Source: https://www.sec.gov/</w:t>
      </w:r>
    </w:p>
    <w:p>
      <w:pPr>
        <w:pStyle w:val="ListBullet"/>
        <w:ind w:left="360" w:hanging="360"/>
      </w:pPr>
      <w:r>
        <w:rPr>
          <w:rFonts w:ascii="Calibri" w:hAnsi="Calibri"/>
          <w:b/>
          <w:color w:val="525866"/>
          <w:sz w:val="22"/>
        </w:rPr>
        <w:t>WY Company Knowledge Base</w:t>
      </w:r>
      <w:r>
        <w:rPr>
          <w:rFonts w:ascii="Calibri" w:hAnsi="Calibri"/>
          <w:color w:val="525866"/>
          <w:sz w:val="22"/>
        </w:rPr>
        <w:t xml:space="preserve"> — Business overview, key KPIs, commentary evolution, valuation context, and state of company as of July 2026.</w:t>
      </w:r>
    </w:p>
    <w:sectPr w:rsidR="00FC693F" w:rsidRPr="0006063C" w:rsidSect="00034616">
      <w:headerReference w:type="default" r:id="rId9"/>
      <w:foot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rPr>
        <w:rFonts w:ascii="Calibri" w:hAnsi="Calibri"/>
        <w:i/>
        <w:color w:val="525866"/>
        <w:sz w:val="20"/>
      </w:rPr>
      <w:t>We do the work, you make the call</w:t>
    </w:r>
    <w:r>
      <w:tab/>
    </w:r>
    <w:r>
      <w:rPr>
        <w:rFonts w:ascii="Calibri" w:hAnsi="Calibri"/>
        <w:i/>
        <w:color w:val="FB9120"/>
        <w:sz w:val="20"/>
      </w:rPr>
      <w:t>app.implied.com/trial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drawing>
        <wp:inline xmlns:a="http://schemas.openxmlformats.org/drawingml/2006/main" xmlns:pic="http://schemas.openxmlformats.org/drawingml/2006/picture">
          <wp:extent cx="5486400" cy="274320"/>
          <wp:docPr id="1" name="Picture 1"/>
          <wp:cNvGraphicFramePr>
            <a:graphicFrameLocks noChangeAspect="1"/>
          </wp:cNvGraphicFramePr>
          <a:graphic>
            <a:graphicData uri="http://schemas.openxmlformats.org/drawingml/2006/picture">
              <pic:pic>
                <pic:nvPicPr>
                  <pic:cNvPr id="0" name="ImpliedPromotionalHeader.png"/>
                  <pic:cNvPicPr/>
                </pic:nvPicPr>
                <pic:blipFill>
                  <a:blip r:embed="rId1"/>
                  <a:stretch>
                    <a:fillRect/>
                  </a:stretch>
                </pic:blipFill>
                <pic:spPr>
                  <a:xfrm>
                    <a:off x="0" y="0"/>
                    <a:ext cx="5486400" cy="27432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